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D6D54" w14:textId="77777777" w:rsidR="003916B8" w:rsidRDefault="003916B8" w:rsidP="003916B8">
      <w:bookmarkStart w:id="0" w:name="_GoBack"/>
      <w:bookmarkEnd w:id="0"/>
    </w:p>
    <w:p w14:paraId="6417FDF7" w14:textId="77777777" w:rsidR="00E034E6" w:rsidRDefault="00E034E6" w:rsidP="00E034E6">
      <w:pPr>
        <w:spacing w:after="0" w:line="240" w:lineRule="auto"/>
        <w:jc w:val="center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 xml:space="preserve">INSTRUÇÃO TÉCNICA </w:t>
      </w:r>
      <w:proofErr w:type="gramStart"/>
      <w:r>
        <w:rPr>
          <w:rFonts w:ascii="Arial" w:eastAsia="Arial" w:hAnsi="Arial" w:cs="Arial"/>
          <w:b/>
        </w:rPr>
        <w:t>Nº  &lt;</w:t>
      </w:r>
      <w:proofErr w:type="gramEnd"/>
      <w:r>
        <w:rPr>
          <w:rFonts w:ascii="Arial" w:eastAsia="Arial" w:hAnsi="Arial" w:cs="Arial"/>
          <w:b/>
        </w:rPr>
        <w:t xml:space="preserve">@Indicador=Número&gt; - </w:t>
      </w:r>
      <w:r>
        <w:rPr>
          <w:rFonts w:ascii="Arial" w:eastAsia="Arial" w:hAnsi="Arial" w:cs="Arial"/>
          <w:b/>
          <w:color w:val="FF0000"/>
        </w:rPr>
        <w:t>SIGLA SETOR</w:t>
      </w:r>
    </w:p>
    <w:p w14:paraId="0776CD64" w14:textId="77777777" w:rsidR="00E034E6" w:rsidRDefault="00E034E6" w:rsidP="00E034E6">
      <w:pPr>
        <w:tabs>
          <w:tab w:val="left" w:pos="1134"/>
        </w:tabs>
        <w:spacing w:after="0" w:line="240" w:lineRule="auto"/>
        <w:ind w:right="108"/>
        <w:rPr>
          <w:rFonts w:ascii="Arial" w:eastAsia="Arial" w:hAnsi="Arial" w:cs="Arial"/>
        </w:rPr>
      </w:pPr>
    </w:p>
    <w:p w14:paraId="73B234F0" w14:textId="77777777" w:rsidR="00E034E6" w:rsidRDefault="00E034E6" w:rsidP="00E034E6">
      <w:pPr>
        <w:spacing w:after="0" w:line="240" w:lineRule="auto"/>
        <w:ind w:left="5103"/>
        <w:rPr>
          <w:rFonts w:ascii="Arial" w:eastAsia="Arial" w:hAnsi="Arial" w:cs="Arial"/>
          <w:b/>
          <w:i/>
          <w:color w:val="FF0000"/>
        </w:rPr>
      </w:pPr>
    </w:p>
    <w:p w14:paraId="16A5E38F" w14:textId="77777777" w:rsidR="00E034E6" w:rsidRDefault="00E034E6" w:rsidP="00E034E6">
      <w:pPr>
        <w:spacing w:after="0" w:line="240" w:lineRule="auto"/>
        <w:ind w:left="4251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  <w:color w:val="FF0000"/>
        </w:rPr>
        <w:t xml:space="preserve">&lt;Inserida automaticamente pelo sistema&gt; </w:t>
      </w:r>
      <w:r>
        <w:rPr>
          <w:rFonts w:ascii="Arial" w:eastAsia="Arial" w:hAnsi="Arial" w:cs="Arial"/>
          <w:b/>
          <w:i/>
        </w:rPr>
        <w:t xml:space="preserve">A ementa é do documento, </w:t>
      </w:r>
      <w:proofErr w:type="gramStart"/>
      <w:r>
        <w:rPr>
          <w:rFonts w:ascii="Arial" w:eastAsia="Arial" w:hAnsi="Arial" w:cs="Arial"/>
          <w:b/>
          <w:i/>
        </w:rPr>
        <w:t>e</w:t>
      </w:r>
      <w:proofErr w:type="gramEnd"/>
      <w:r>
        <w:rPr>
          <w:rFonts w:ascii="Arial" w:eastAsia="Arial" w:hAnsi="Arial" w:cs="Arial"/>
          <w:b/>
          <w:i/>
        </w:rPr>
        <w:t xml:space="preserve"> portanto, deve ser revista pelo analista e complementada com a análise realizada.</w:t>
      </w:r>
    </w:p>
    <w:p w14:paraId="7517AEE7" w14:textId="77777777" w:rsidR="00E034E6" w:rsidRDefault="00E034E6" w:rsidP="00E034E6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289DB879" w14:textId="77777777" w:rsidR="00E034E6" w:rsidRDefault="00E034E6" w:rsidP="00E034E6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45BACACE" w14:textId="77777777" w:rsidR="003916B8" w:rsidRPr="00BD267E" w:rsidRDefault="003916B8" w:rsidP="003916B8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b/>
          <w:bCs/>
          <w:i/>
          <w:color w:val="000000" w:themeColor="text1"/>
        </w:rPr>
      </w:pPr>
    </w:p>
    <w:p w14:paraId="2A031A4D" w14:textId="77777777" w:rsidR="003916B8" w:rsidRDefault="003916B8" w:rsidP="003916B8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sz w:val="22"/>
          <w:szCs w:val="22"/>
        </w:rPr>
      </w:pPr>
    </w:p>
    <w:p w14:paraId="5414D12A" w14:textId="77777777" w:rsidR="003916B8" w:rsidRPr="004826C7" w:rsidRDefault="003916B8" w:rsidP="004826C7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  <w:r w:rsidRPr="004826C7">
        <w:rPr>
          <w:rFonts w:ascii="Arial" w:hAnsi="Arial" w:cs="Arial"/>
          <w:color w:val="FF0000"/>
          <w:sz w:val="22"/>
          <w:szCs w:val="22"/>
        </w:rPr>
        <w:t xml:space="preserve">Este modelo deverá ser utilizado de forma prévia à emissão da Instrução Técnica Conclusiva, quando </w:t>
      </w:r>
      <w:r w:rsidR="00E034E6" w:rsidRPr="004826C7">
        <w:rPr>
          <w:rFonts w:ascii="Arial" w:hAnsi="Arial" w:cs="Arial"/>
          <w:color w:val="FF0000"/>
          <w:sz w:val="22"/>
          <w:szCs w:val="22"/>
        </w:rPr>
        <w:t xml:space="preserve">a análise processual indicar a necessidade </w:t>
      </w:r>
      <w:proofErr w:type="gramStart"/>
      <w:r w:rsidR="00E034E6" w:rsidRPr="004826C7">
        <w:rPr>
          <w:rFonts w:ascii="Arial" w:hAnsi="Arial" w:cs="Arial"/>
          <w:color w:val="FF0000"/>
          <w:sz w:val="22"/>
          <w:szCs w:val="22"/>
        </w:rPr>
        <w:t>dos</w:t>
      </w:r>
      <w:proofErr w:type="gramEnd"/>
      <w:r w:rsidR="00E034E6" w:rsidRPr="004826C7">
        <w:rPr>
          <w:rFonts w:ascii="Arial" w:hAnsi="Arial" w:cs="Arial"/>
          <w:color w:val="FF0000"/>
          <w:sz w:val="22"/>
          <w:szCs w:val="22"/>
        </w:rPr>
        <w:t xml:space="preserve"> autos serem instruídos ou saneados com</w:t>
      </w:r>
      <w:r w:rsidRPr="004826C7">
        <w:rPr>
          <w:rFonts w:ascii="Arial" w:hAnsi="Arial" w:cs="Arial"/>
          <w:color w:val="FF0000"/>
          <w:sz w:val="22"/>
          <w:szCs w:val="22"/>
        </w:rPr>
        <w:t xml:space="preserve"> </w:t>
      </w:r>
      <w:r w:rsidR="00E034E6" w:rsidRPr="004826C7">
        <w:rPr>
          <w:rFonts w:ascii="Arial" w:hAnsi="Arial" w:cs="Arial"/>
          <w:color w:val="FF0000"/>
          <w:sz w:val="22"/>
          <w:szCs w:val="22"/>
        </w:rPr>
        <w:t xml:space="preserve">informação, </w:t>
      </w:r>
      <w:r w:rsidRPr="004826C7">
        <w:rPr>
          <w:rFonts w:ascii="Arial" w:hAnsi="Arial" w:cs="Arial"/>
          <w:color w:val="FF0000"/>
          <w:sz w:val="22"/>
          <w:szCs w:val="22"/>
        </w:rPr>
        <w:t>providência</w:t>
      </w:r>
      <w:r w:rsidR="00E034E6" w:rsidRPr="004826C7">
        <w:rPr>
          <w:rFonts w:ascii="Arial" w:hAnsi="Arial" w:cs="Arial"/>
          <w:color w:val="FF0000"/>
          <w:sz w:val="22"/>
          <w:szCs w:val="22"/>
        </w:rPr>
        <w:t xml:space="preserve"> ou </w:t>
      </w:r>
      <w:r w:rsidRPr="004826C7">
        <w:rPr>
          <w:rFonts w:ascii="Arial" w:hAnsi="Arial" w:cs="Arial"/>
          <w:color w:val="FF0000"/>
          <w:sz w:val="22"/>
          <w:szCs w:val="22"/>
        </w:rPr>
        <w:t>diligência</w:t>
      </w:r>
      <w:r w:rsidR="00E034E6" w:rsidRPr="004826C7">
        <w:rPr>
          <w:rFonts w:ascii="Arial" w:hAnsi="Arial" w:cs="Arial"/>
          <w:color w:val="FF0000"/>
          <w:sz w:val="22"/>
          <w:szCs w:val="22"/>
        </w:rPr>
        <w:t>, e não se mostrar útil ou recomendável a adoção do modelo de Instrução Técnica de Diligência.</w:t>
      </w:r>
    </w:p>
    <w:p w14:paraId="3DA92641" w14:textId="77777777" w:rsidR="003916B8" w:rsidRPr="004826C7" w:rsidRDefault="003916B8" w:rsidP="004826C7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</w:p>
    <w:p w14:paraId="1D2D57F8" w14:textId="77777777" w:rsidR="00786B19" w:rsidRPr="004826C7" w:rsidRDefault="00786B19" w:rsidP="004826C7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  <w:r w:rsidRPr="004826C7">
        <w:rPr>
          <w:rFonts w:ascii="Arial" w:hAnsi="Arial" w:cs="Arial"/>
          <w:color w:val="FF0000"/>
          <w:sz w:val="22"/>
          <w:szCs w:val="22"/>
        </w:rPr>
        <w:t>A decisão</w:t>
      </w:r>
      <w:r w:rsidR="00E034E6" w:rsidRPr="004826C7">
        <w:rPr>
          <w:rFonts w:ascii="Arial" w:hAnsi="Arial" w:cs="Arial"/>
          <w:color w:val="FF0000"/>
          <w:sz w:val="22"/>
          <w:szCs w:val="22"/>
        </w:rPr>
        <w:t xml:space="preserve"> por um modelo específico de Instrução Técnica</w:t>
      </w:r>
      <w:r w:rsidRPr="004826C7">
        <w:rPr>
          <w:rFonts w:ascii="Arial" w:hAnsi="Arial" w:cs="Arial"/>
          <w:color w:val="FF0000"/>
          <w:sz w:val="22"/>
          <w:szCs w:val="22"/>
        </w:rPr>
        <w:t xml:space="preserve"> deve ser tomada após se realizar, pelo menos, </w:t>
      </w:r>
      <w:r w:rsidR="00E034E6" w:rsidRPr="004826C7">
        <w:rPr>
          <w:rFonts w:ascii="Arial" w:hAnsi="Arial" w:cs="Arial"/>
          <w:color w:val="FF0000"/>
          <w:sz w:val="22"/>
          <w:szCs w:val="22"/>
        </w:rPr>
        <w:t>avaliação</w:t>
      </w:r>
      <w:r w:rsidR="003916B8" w:rsidRPr="004826C7">
        <w:rPr>
          <w:rFonts w:ascii="Arial" w:hAnsi="Arial" w:cs="Arial"/>
          <w:color w:val="FF0000"/>
          <w:sz w:val="22"/>
          <w:szCs w:val="22"/>
        </w:rPr>
        <w:t xml:space="preserve"> prévia do processo</w:t>
      </w:r>
      <w:r w:rsidRPr="004826C7">
        <w:rPr>
          <w:rFonts w:ascii="Arial" w:hAnsi="Arial" w:cs="Arial"/>
          <w:color w:val="FF0000"/>
          <w:sz w:val="22"/>
          <w:szCs w:val="22"/>
        </w:rPr>
        <w:t xml:space="preserve">. Entretanto, concluída a análise, a decisão pode ser modificada até a assinatura da peça de Instrução pelo chefe do Serviço Temático, excluindo-se do </w:t>
      </w:r>
      <w:proofErr w:type="spellStart"/>
      <w:r w:rsidRPr="004826C7">
        <w:rPr>
          <w:rFonts w:ascii="Arial" w:hAnsi="Arial" w:cs="Arial"/>
          <w:color w:val="FF0000"/>
          <w:sz w:val="22"/>
          <w:szCs w:val="22"/>
        </w:rPr>
        <w:t>e-TCE</w:t>
      </w:r>
      <w:proofErr w:type="spellEnd"/>
      <w:r w:rsidRPr="004826C7">
        <w:rPr>
          <w:rFonts w:ascii="Arial" w:hAnsi="Arial" w:cs="Arial"/>
          <w:color w:val="FF0000"/>
          <w:sz w:val="22"/>
          <w:szCs w:val="22"/>
        </w:rPr>
        <w:t xml:space="preserve"> o modelo anteriormente selecionado, e gerando-se nesse sistema o modelo substituto padronizado.</w:t>
      </w:r>
    </w:p>
    <w:p w14:paraId="6F947C17" w14:textId="77777777" w:rsidR="00786B19" w:rsidRPr="004826C7" w:rsidRDefault="00786B19" w:rsidP="004826C7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</w:p>
    <w:p w14:paraId="2E6964A2" w14:textId="77777777" w:rsidR="003916B8" w:rsidRPr="004826C7" w:rsidRDefault="00786B19" w:rsidP="004826C7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  <w:r w:rsidRPr="004826C7">
        <w:rPr>
          <w:rFonts w:ascii="Arial" w:hAnsi="Arial" w:cs="Arial"/>
          <w:b/>
          <w:color w:val="FF0000"/>
          <w:sz w:val="22"/>
          <w:szCs w:val="22"/>
        </w:rPr>
        <w:t>Importante</w:t>
      </w:r>
      <w:r w:rsidR="00800B41" w:rsidRPr="004826C7">
        <w:rPr>
          <w:rFonts w:ascii="Arial" w:hAnsi="Arial" w:cs="Arial"/>
          <w:color w:val="FF0000"/>
          <w:sz w:val="22"/>
          <w:szCs w:val="22"/>
        </w:rPr>
        <w:t>:</w:t>
      </w:r>
      <w:r w:rsidR="00E034E6" w:rsidRPr="004826C7">
        <w:rPr>
          <w:rFonts w:ascii="Arial" w:hAnsi="Arial" w:cs="Arial"/>
          <w:color w:val="FF0000"/>
          <w:sz w:val="22"/>
          <w:szCs w:val="22"/>
        </w:rPr>
        <w:t xml:space="preserve"> </w:t>
      </w:r>
      <w:r w:rsidR="00800B41" w:rsidRPr="004826C7">
        <w:rPr>
          <w:rFonts w:ascii="Arial" w:hAnsi="Arial" w:cs="Arial"/>
          <w:color w:val="FF0000"/>
          <w:sz w:val="22"/>
          <w:szCs w:val="22"/>
        </w:rPr>
        <w:t xml:space="preserve">À luz dos princípios da </w:t>
      </w:r>
      <w:r w:rsidR="00800B41" w:rsidRPr="00800B41">
        <w:rPr>
          <w:rFonts w:ascii="Arial" w:hAnsi="Arial" w:cs="Arial"/>
          <w:color w:val="FF0000"/>
          <w:sz w:val="22"/>
          <w:szCs w:val="22"/>
        </w:rPr>
        <w:t>razoável duração do processo</w:t>
      </w:r>
      <w:r w:rsidR="004826C7">
        <w:rPr>
          <w:rFonts w:ascii="Arial" w:hAnsi="Arial" w:cs="Arial"/>
          <w:color w:val="FF0000"/>
          <w:sz w:val="22"/>
          <w:szCs w:val="22"/>
        </w:rPr>
        <w:t xml:space="preserve"> (art. 5</w:t>
      </w:r>
      <w:proofErr w:type="gramStart"/>
      <w:r w:rsidR="004826C7">
        <w:rPr>
          <w:rFonts w:ascii="Arial" w:hAnsi="Arial" w:cs="Arial"/>
          <w:color w:val="FF0000"/>
          <w:sz w:val="22"/>
          <w:szCs w:val="22"/>
        </w:rPr>
        <w:t>°,  LXXVIII</w:t>
      </w:r>
      <w:proofErr w:type="gramEnd"/>
      <w:r w:rsidR="004826C7">
        <w:rPr>
          <w:rFonts w:ascii="Arial" w:hAnsi="Arial" w:cs="Arial"/>
          <w:color w:val="FF0000"/>
          <w:sz w:val="22"/>
          <w:szCs w:val="22"/>
        </w:rPr>
        <w:t xml:space="preserve"> da CR/88), do formalismo moderado (art.  46 da LOTCE-GO), da </w:t>
      </w:r>
      <w:r w:rsidR="004826C7" w:rsidRPr="004826C7">
        <w:rPr>
          <w:rFonts w:ascii="Arial" w:hAnsi="Arial" w:cs="Arial"/>
          <w:color w:val="FF0000"/>
          <w:sz w:val="22"/>
          <w:szCs w:val="22"/>
        </w:rPr>
        <w:t>racionalização administrativa e economia processual</w:t>
      </w:r>
      <w:r w:rsidR="004826C7">
        <w:rPr>
          <w:rFonts w:ascii="Arial" w:hAnsi="Arial" w:cs="Arial"/>
          <w:color w:val="FF0000"/>
          <w:sz w:val="22"/>
          <w:szCs w:val="22"/>
        </w:rPr>
        <w:t xml:space="preserve"> (art. 66, §3° e art. 76 da LOTCE-GO), </w:t>
      </w:r>
      <w:r w:rsidR="004826C7" w:rsidRPr="004826C7">
        <w:rPr>
          <w:rFonts w:ascii="Arial" w:hAnsi="Arial" w:cs="Arial"/>
          <w:b/>
          <w:color w:val="FF0000"/>
          <w:sz w:val="22"/>
          <w:szCs w:val="22"/>
        </w:rPr>
        <w:t>é desejável</w:t>
      </w:r>
      <w:r w:rsidR="004826C7">
        <w:rPr>
          <w:rFonts w:ascii="Arial" w:hAnsi="Arial" w:cs="Arial"/>
          <w:color w:val="FF0000"/>
          <w:sz w:val="22"/>
          <w:szCs w:val="22"/>
        </w:rPr>
        <w:t xml:space="preserve"> que análise preliminar a ser consubstanciada nesta Instrução não conclusiva seja realizada de forma que </w:t>
      </w:r>
      <w:r w:rsidR="003916B8" w:rsidRPr="004826C7">
        <w:rPr>
          <w:rFonts w:ascii="Arial" w:hAnsi="Arial" w:cs="Arial"/>
          <w:color w:val="FF0000"/>
          <w:sz w:val="22"/>
          <w:szCs w:val="22"/>
        </w:rPr>
        <w:t xml:space="preserve">todas as providências necessárias ao completo saneamento do processo sejam </w:t>
      </w:r>
      <w:r w:rsidR="004826C7" w:rsidRPr="004826C7">
        <w:rPr>
          <w:rFonts w:ascii="Arial" w:hAnsi="Arial" w:cs="Arial"/>
          <w:color w:val="FF0000"/>
          <w:sz w:val="22"/>
          <w:szCs w:val="22"/>
        </w:rPr>
        <w:t xml:space="preserve">identificadas, </w:t>
      </w:r>
      <w:r w:rsidR="003916B8" w:rsidRPr="004826C7">
        <w:rPr>
          <w:rFonts w:ascii="Arial" w:hAnsi="Arial" w:cs="Arial"/>
          <w:color w:val="FF0000"/>
          <w:sz w:val="22"/>
          <w:szCs w:val="22"/>
        </w:rPr>
        <w:t>sugeridas</w:t>
      </w:r>
      <w:r w:rsidR="004826C7" w:rsidRPr="004826C7">
        <w:rPr>
          <w:rFonts w:ascii="Arial" w:hAnsi="Arial" w:cs="Arial"/>
          <w:color w:val="FF0000"/>
          <w:sz w:val="22"/>
          <w:szCs w:val="22"/>
        </w:rPr>
        <w:t>, e realizadas,</w:t>
      </w:r>
      <w:r w:rsidR="003916B8" w:rsidRPr="004826C7">
        <w:rPr>
          <w:rFonts w:ascii="Arial" w:hAnsi="Arial" w:cs="Arial"/>
          <w:color w:val="FF0000"/>
          <w:sz w:val="22"/>
          <w:szCs w:val="22"/>
        </w:rPr>
        <w:t xml:space="preserve"> </w:t>
      </w:r>
      <w:r w:rsidR="003916B8" w:rsidRPr="004826C7">
        <w:rPr>
          <w:rFonts w:ascii="Arial" w:hAnsi="Arial" w:cs="Arial"/>
          <w:b/>
          <w:color w:val="FF0000"/>
          <w:sz w:val="22"/>
          <w:szCs w:val="22"/>
        </w:rPr>
        <w:t>uma única vez</w:t>
      </w:r>
      <w:r w:rsidR="003916B8" w:rsidRPr="004826C7">
        <w:rPr>
          <w:rFonts w:ascii="Arial" w:hAnsi="Arial" w:cs="Arial"/>
          <w:color w:val="FF0000"/>
          <w:sz w:val="22"/>
          <w:szCs w:val="22"/>
        </w:rPr>
        <w:t>.</w:t>
      </w:r>
    </w:p>
    <w:p w14:paraId="1C467272" w14:textId="77777777" w:rsidR="003916B8" w:rsidRDefault="003916B8" w:rsidP="003916B8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</w:p>
    <w:p w14:paraId="55A13FDA" w14:textId="77777777" w:rsidR="003916B8" w:rsidRDefault="003916B8" w:rsidP="003916B8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sz w:val="22"/>
          <w:szCs w:val="22"/>
        </w:rPr>
      </w:pPr>
    </w:p>
    <w:p w14:paraId="261B7021" w14:textId="77777777" w:rsidR="003916B8" w:rsidRDefault="003916B8" w:rsidP="003916B8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  <w:r w:rsidRPr="00CC5120">
        <w:rPr>
          <w:rFonts w:ascii="Arial" w:hAnsi="Arial" w:cs="Arial"/>
          <w:sz w:val="22"/>
          <w:szCs w:val="22"/>
        </w:rPr>
        <w:t xml:space="preserve">Tratam os presentes autos de </w:t>
      </w:r>
      <w:r w:rsidRPr="00CC5120">
        <w:rPr>
          <w:rFonts w:ascii="Arial" w:hAnsi="Arial" w:cs="Arial"/>
          <w:color w:val="FF0000"/>
          <w:sz w:val="22"/>
          <w:szCs w:val="22"/>
        </w:rPr>
        <w:t>(</w:t>
      </w:r>
      <w:r w:rsidRPr="00CC5120">
        <w:rPr>
          <w:rFonts w:ascii="Arial" w:hAnsi="Arial" w:cs="Arial"/>
          <w:bCs/>
          <w:color w:val="FF0000"/>
          <w:sz w:val="22"/>
          <w:szCs w:val="22"/>
        </w:rPr>
        <w:t>Relatório de ...., Denúncia, Representação, Tomadas de Contas Especiais, Consulta, Recurso</w:t>
      </w:r>
      <w:r w:rsidR="004826C7">
        <w:rPr>
          <w:rFonts w:ascii="Arial" w:hAnsi="Arial" w:cs="Arial"/>
          <w:bCs/>
          <w:color w:val="FF0000"/>
          <w:sz w:val="22"/>
          <w:szCs w:val="22"/>
        </w:rPr>
        <w:t xml:space="preserve">, Análise de procedimento licitatório, </w:t>
      </w:r>
      <w:r w:rsidRPr="00CC5120">
        <w:rPr>
          <w:rFonts w:ascii="Arial" w:hAnsi="Arial" w:cs="Arial"/>
          <w:bCs/>
          <w:color w:val="FF0000"/>
          <w:sz w:val="22"/>
          <w:szCs w:val="22"/>
        </w:rPr>
        <w:t>etc..)</w:t>
      </w:r>
      <w:r w:rsidRPr="00CC5120">
        <w:rPr>
          <w:rFonts w:ascii="Arial" w:hAnsi="Arial" w:cs="Arial"/>
          <w:bCs/>
          <w:sz w:val="22"/>
          <w:szCs w:val="22"/>
        </w:rPr>
        <w:t xml:space="preserve"> </w:t>
      </w:r>
      <w:r w:rsidR="001B2475">
        <w:rPr>
          <w:rFonts w:ascii="Arial" w:hAnsi="Arial" w:cs="Arial"/>
          <w:sz w:val="22"/>
          <w:szCs w:val="22"/>
        </w:rPr>
        <w:t>cujo objeto versa sobre</w:t>
      </w:r>
      <w:r w:rsidRPr="00CC5120">
        <w:rPr>
          <w:rFonts w:ascii="Arial" w:hAnsi="Arial" w:cs="Arial"/>
          <w:sz w:val="22"/>
          <w:szCs w:val="22"/>
        </w:rPr>
        <w:t xml:space="preserve"> </w:t>
      </w:r>
      <w:r w:rsidR="001B2475" w:rsidRPr="001B2475">
        <w:rPr>
          <w:rFonts w:ascii="Arial" w:hAnsi="Arial" w:cs="Arial"/>
          <w:color w:val="FF0000"/>
          <w:sz w:val="22"/>
          <w:szCs w:val="22"/>
        </w:rPr>
        <w:t>(</w:t>
      </w:r>
      <w:r w:rsidRPr="00CC5120">
        <w:rPr>
          <w:rFonts w:ascii="Arial" w:hAnsi="Arial" w:cs="Arial"/>
          <w:color w:val="FF0000"/>
          <w:sz w:val="22"/>
          <w:szCs w:val="22"/>
        </w:rPr>
        <w:t>Identificar o objet</w:t>
      </w:r>
      <w:r w:rsidR="001B2475">
        <w:rPr>
          <w:rFonts w:ascii="Arial" w:hAnsi="Arial" w:cs="Arial"/>
          <w:color w:val="FF0000"/>
          <w:sz w:val="22"/>
          <w:szCs w:val="22"/>
        </w:rPr>
        <w:t>o e</w:t>
      </w:r>
      <w:r w:rsidRPr="00CC5120">
        <w:rPr>
          <w:rFonts w:ascii="Arial" w:hAnsi="Arial" w:cs="Arial"/>
          <w:color w:val="FF0000"/>
          <w:sz w:val="22"/>
          <w:szCs w:val="22"/>
        </w:rPr>
        <w:t xml:space="preserve"> o órgão ou entidade responsável</w:t>
      </w:r>
      <w:r w:rsidR="001B2475">
        <w:rPr>
          <w:rFonts w:ascii="Arial" w:hAnsi="Arial" w:cs="Arial"/>
          <w:color w:val="FF0000"/>
          <w:sz w:val="22"/>
          <w:szCs w:val="22"/>
        </w:rPr>
        <w:t>)</w:t>
      </w:r>
      <w:r w:rsidRPr="00CC5120">
        <w:rPr>
          <w:rFonts w:ascii="Arial" w:hAnsi="Arial" w:cs="Arial"/>
          <w:color w:val="FF0000"/>
          <w:sz w:val="22"/>
          <w:szCs w:val="22"/>
        </w:rPr>
        <w:t>.</w:t>
      </w:r>
    </w:p>
    <w:p w14:paraId="05A964FA" w14:textId="77777777" w:rsidR="003916B8" w:rsidRDefault="003916B8" w:rsidP="003916B8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sz w:val="22"/>
          <w:szCs w:val="22"/>
        </w:rPr>
      </w:pPr>
    </w:p>
    <w:p w14:paraId="4E938D22" w14:textId="77777777" w:rsidR="003916B8" w:rsidRPr="00CC5120" w:rsidRDefault="003916B8" w:rsidP="003916B8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000000"/>
          <w:sz w:val="22"/>
          <w:szCs w:val="22"/>
        </w:rPr>
      </w:pPr>
    </w:p>
    <w:p w14:paraId="0D9A21AE" w14:textId="77777777" w:rsidR="003916B8" w:rsidRDefault="003916B8" w:rsidP="001B2475">
      <w:pPr>
        <w:pStyle w:val="Textodecomentri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</w:rPr>
        <w:t>Estes parágrafos correspondem à Introdução da Instrução, em que são apresentadas informações gerais sobre o processo em exame, devendo ser indicado o documento que lhe deu origem (se, por exemplo, a expedição da Instrução foi determinada pelo Relator ou por qualquer outra instância de atuação do TCE-GO), objeto, órgão/entidade ou agente responsável envolvido, assunto</w:t>
      </w:r>
      <w:r>
        <w:rPr>
          <w:rFonts w:ascii="Arial" w:eastAsia="Times New Roman" w:hAnsi="Arial" w:cs="Arial"/>
          <w:color w:val="FF0000"/>
          <w:sz w:val="22"/>
          <w:szCs w:val="22"/>
          <w:highlight w:val="lightGray"/>
        </w:rPr>
        <w:t xml:space="preserve"> </w:t>
      </w: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</w:rPr>
        <w:t>e outros elementos que identifiquem a matéria em debate.</w:t>
      </w:r>
      <w:r w:rsidRPr="00CC512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6D0AB8E5" w14:textId="77777777" w:rsidR="003916B8" w:rsidRDefault="003916B8" w:rsidP="003916B8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4F641B3B" w14:textId="77777777" w:rsidR="003916B8" w:rsidRPr="00CC5120" w:rsidRDefault="003916B8" w:rsidP="003916B8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4E7591F5" w14:textId="77777777" w:rsidR="003916B8" w:rsidRDefault="00E03C70" w:rsidP="00E03C70">
      <w:pPr>
        <w:pStyle w:val="western"/>
        <w:tabs>
          <w:tab w:val="left" w:pos="284"/>
        </w:tabs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3916B8" w:rsidRPr="00CC5120">
        <w:rPr>
          <w:rFonts w:ascii="Arial" w:hAnsi="Arial" w:cs="Arial"/>
          <w:b/>
          <w:sz w:val="22"/>
          <w:szCs w:val="22"/>
        </w:rPr>
        <w:t>HISTÓRICO</w:t>
      </w:r>
    </w:p>
    <w:p w14:paraId="0F6D3095" w14:textId="77777777" w:rsidR="003916B8" w:rsidRDefault="003916B8" w:rsidP="003916B8">
      <w:pPr>
        <w:pStyle w:val="western"/>
        <w:tabs>
          <w:tab w:val="left" w:pos="284"/>
        </w:tabs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</w:p>
    <w:p w14:paraId="6AED9007" w14:textId="77777777" w:rsidR="001B2475" w:rsidRDefault="001B2475" w:rsidP="001B2475">
      <w:pPr>
        <w:tabs>
          <w:tab w:val="left" w:pos="-5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bookmarkStart w:id="1" w:name="_Hlk170213590"/>
      <w:r w:rsidRPr="005F15BF">
        <w:rPr>
          <w:rFonts w:ascii="Arial" w:eastAsia="Arial" w:hAnsi="Arial" w:cs="Arial"/>
        </w:rPr>
        <w:t>Descrever, sintética e cronologicamente, os principais</w:t>
      </w:r>
      <w:r>
        <w:rPr>
          <w:rFonts w:ascii="Arial" w:eastAsia="Arial" w:hAnsi="Arial" w:cs="Arial"/>
        </w:rPr>
        <w:t xml:space="preserve"> atos processuais ocorridos até a elaboração desta Instrução, indicando-se os elementos indispensáveis á sua identificação, como datas, locais, interessados/responsáveis, e quaisquer outras </w:t>
      </w:r>
      <w:r>
        <w:rPr>
          <w:rFonts w:ascii="Arial" w:eastAsia="Arial" w:hAnsi="Arial" w:cs="Arial"/>
        </w:rPr>
        <w:lastRenderedPageBreak/>
        <w:t>informações relevantes para compreensão do que se trata o processo, devendo-se sempre referenciar as informações relatadas no histórico com o respectivo evento processual em que se encontram,</w:t>
      </w:r>
      <w:r w:rsidR="00E03C70">
        <w:rPr>
          <w:rFonts w:ascii="Arial" w:eastAsia="Arial" w:hAnsi="Arial" w:cs="Arial"/>
        </w:rPr>
        <w:t xml:space="preserve"> utilizando-se </w:t>
      </w:r>
      <w:r>
        <w:rPr>
          <w:rFonts w:ascii="Arial" w:eastAsia="Arial" w:hAnsi="Arial" w:cs="Arial"/>
        </w:rPr>
        <w:t xml:space="preserve"> </w:t>
      </w:r>
      <w:r w:rsidR="00E03C70">
        <w:rPr>
          <w:rFonts w:ascii="Arial" w:eastAsia="Arial" w:hAnsi="Arial" w:cs="Arial"/>
        </w:rPr>
        <w:t>a notação “evento-página” com a seguinte formatação: (evento 00, p. 00).</w:t>
      </w:r>
    </w:p>
    <w:bookmarkEnd w:id="1"/>
    <w:p w14:paraId="36BB5CD2" w14:textId="77777777" w:rsidR="003916B8" w:rsidRDefault="003916B8" w:rsidP="003916B8">
      <w:pPr>
        <w:pStyle w:val="western"/>
        <w:tabs>
          <w:tab w:val="left" w:pos="284"/>
        </w:tabs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</w:p>
    <w:p w14:paraId="4CE4BCEE" w14:textId="77777777" w:rsidR="00E03C70" w:rsidRPr="00E03C70" w:rsidRDefault="00E03C70" w:rsidP="00E03C70">
      <w:pPr>
        <w:tabs>
          <w:tab w:val="left" w:pos="0"/>
        </w:tabs>
        <w:spacing w:after="0" w:line="240" w:lineRule="auto"/>
        <w:ind w:left="-11" w:right="108"/>
        <w:jc w:val="both"/>
        <w:rPr>
          <w:rFonts w:ascii="Arial" w:eastAsia="Arial" w:hAnsi="Arial" w:cs="Arial"/>
          <w:b/>
        </w:rPr>
      </w:pPr>
      <w:r w:rsidRPr="00E03C70">
        <w:rPr>
          <w:rFonts w:ascii="Arial" w:eastAsia="Arial" w:hAnsi="Arial" w:cs="Arial"/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 w:rsidRPr="00E03C70">
        <w:rPr>
          <w:rFonts w:ascii="Arial" w:eastAsia="Arial" w:hAnsi="Arial" w:cs="Arial"/>
          <w:b/>
        </w:rPr>
        <w:t xml:space="preserve">EXAME DE ADMISSIBILIDADE </w:t>
      </w:r>
    </w:p>
    <w:p w14:paraId="7E30CBBA" w14:textId="77777777" w:rsidR="00E03C70" w:rsidRDefault="00E03C70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31049389" w14:textId="77777777" w:rsidR="00E03C70" w:rsidRDefault="00E03C70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</w:t>
      </w:r>
      <w:r w:rsidR="00143327">
        <w:rPr>
          <w:rFonts w:ascii="Arial" w:eastAsia="Arial" w:hAnsi="Arial" w:cs="Arial"/>
        </w:rPr>
        <w:t>a seção</w:t>
      </w:r>
      <w:r>
        <w:rPr>
          <w:rFonts w:ascii="Arial" w:eastAsia="Arial" w:hAnsi="Arial" w:cs="Arial"/>
        </w:rPr>
        <w:t xml:space="preserve"> “</w:t>
      </w:r>
      <w:r w:rsidRPr="00143327">
        <w:rPr>
          <w:rFonts w:ascii="Arial" w:eastAsia="Arial" w:hAnsi="Arial" w:cs="Arial"/>
          <w:i/>
        </w:rPr>
        <w:t>Exame de Admissibilidade</w:t>
      </w:r>
      <w:r>
        <w:rPr>
          <w:rFonts w:ascii="Arial" w:eastAsia="Arial" w:hAnsi="Arial" w:cs="Arial"/>
        </w:rPr>
        <w:t>” é exclusiv</w:t>
      </w:r>
      <w:r w:rsidR="00143327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 para instruções de processos que tenham natureza de </w:t>
      </w:r>
      <w:r w:rsidRPr="000D3649">
        <w:rPr>
          <w:rFonts w:ascii="Arial" w:eastAsia="Arial" w:hAnsi="Arial" w:cs="Arial"/>
          <w:b/>
        </w:rPr>
        <w:t>denúncia</w:t>
      </w:r>
      <w:r>
        <w:rPr>
          <w:rFonts w:ascii="Arial" w:eastAsia="Arial" w:hAnsi="Arial" w:cs="Arial"/>
        </w:rPr>
        <w:t xml:space="preserve"> (art. 88 da LOTCE-GO), </w:t>
      </w:r>
      <w:r w:rsidRPr="000D3649">
        <w:rPr>
          <w:rFonts w:ascii="Arial" w:eastAsia="Arial" w:hAnsi="Arial" w:cs="Arial"/>
          <w:b/>
        </w:rPr>
        <w:t>representação de terceiros</w:t>
      </w:r>
      <w:r w:rsidR="000D3649">
        <w:rPr>
          <w:rFonts w:ascii="Arial" w:eastAsia="Arial" w:hAnsi="Arial" w:cs="Arial"/>
        </w:rPr>
        <w:t xml:space="preserve"> (art. 91, I a VI e VIII da LOTCE-GO), </w:t>
      </w:r>
      <w:r w:rsidR="000D3649" w:rsidRPr="000D3649">
        <w:rPr>
          <w:rFonts w:ascii="Arial" w:eastAsia="Arial" w:hAnsi="Arial" w:cs="Arial"/>
          <w:b/>
        </w:rPr>
        <w:t>consulta</w:t>
      </w:r>
      <w:r w:rsidR="000D3649">
        <w:rPr>
          <w:rFonts w:ascii="Arial" w:eastAsia="Arial" w:hAnsi="Arial" w:cs="Arial"/>
        </w:rPr>
        <w:t xml:space="preserve"> (art. 108 da LOTCE-GO), </w:t>
      </w:r>
      <w:r w:rsidR="000D3649" w:rsidRPr="000D3649">
        <w:rPr>
          <w:rFonts w:ascii="Arial" w:eastAsia="Arial" w:hAnsi="Arial" w:cs="Arial"/>
          <w:b/>
        </w:rPr>
        <w:t>recursos</w:t>
      </w:r>
      <w:r w:rsidR="000D3649">
        <w:rPr>
          <w:rFonts w:ascii="Arial" w:eastAsia="Arial" w:hAnsi="Arial" w:cs="Arial"/>
        </w:rPr>
        <w:t xml:space="preserve"> (</w:t>
      </w:r>
      <w:proofErr w:type="spellStart"/>
      <w:r w:rsidR="000D3649">
        <w:rPr>
          <w:rFonts w:ascii="Arial" w:eastAsia="Arial" w:hAnsi="Arial" w:cs="Arial"/>
        </w:rPr>
        <w:t>arts</w:t>
      </w:r>
      <w:proofErr w:type="spellEnd"/>
      <w:r w:rsidR="000D3649">
        <w:rPr>
          <w:rFonts w:ascii="Arial" w:eastAsia="Arial" w:hAnsi="Arial" w:cs="Arial"/>
        </w:rPr>
        <w:t xml:space="preserve">. 120 a 129 da LOTCE-GO), podendo ser utilizado também em manifestações de terceiros recebidas pela Ouvidoria ou diretamente pelo Relatores que ainda não tenham recebido classificação processual nas naturezas </w:t>
      </w:r>
      <w:proofErr w:type="spellStart"/>
      <w:r w:rsidR="000D3649">
        <w:rPr>
          <w:rFonts w:ascii="Arial" w:eastAsia="Arial" w:hAnsi="Arial" w:cs="Arial"/>
        </w:rPr>
        <w:t>retromencionadas</w:t>
      </w:r>
      <w:proofErr w:type="spellEnd"/>
      <w:r w:rsidR="000D3649">
        <w:rPr>
          <w:rFonts w:ascii="Arial" w:eastAsia="Arial" w:hAnsi="Arial" w:cs="Arial"/>
        </w:rPr>
        <w:t xml:space="preserve">, ou tenham sido provisoriamente </w:t>
      </w:r>
      <w:proofErr w:type="gramStart"/>
      <w:r w:rsidR="000D3649">
        <w:rPr>
          <w:rFonts w:ascii="Arial" w:eastAsia="Arial" w:hAnsi="Arial" w:cs="Arial"/>
        </w:rPr>
        <w:t>classificado</w:t>
      </w:r>
      <w:proofErr w:type="gramEnd"/>
      <w:r w:rsidR="000D3649">
        <w:rPr>
          <w:rFonts w:ascii="Arial" w:eastAsia="Arial" w:hAnsi="Arial" w:cs="Arial"/>
        </w:rPr>
        <w:t xml:space="preserve"> em naturezas genéricas.</w:t>
      </w:r>
    </w:p>
    <w:p w14:paraId="179CB714" w14:textId="77777777" w:rsidR="00E03C70" w:rsidRDefault="00E03C70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7228389A" w14:textId="77777777" w:rsidR="004B379F" w:rsidRDefault="000D3649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Sempre que </w:t>
      </w:r>
      <w:r w:rsidR="00E03C70">
        <w:rPr>
          <w:rFonts w:ascii="Arial" w:eastAsia="Arial" w:hAnsi="Arial" w:cs="Arial"/>
        </w:rPr>
        <w:t xml:space="preserve">necessário realizar o exame de admissibilidade, deve-se verificar </w:t>
      </w:r>
      <w:r>
        <w:rPr>
          <w:rFonts w:ascii="Arial" w:eastAsia="Arial" w:hAnsi="Arial" w:cs="Arial"/>
        </w:rPr>
        <w:t>a existência e a validade dos seguintes</w:t>
      </w:r>
      <w:r w:rsidR="00E03C70">
        <w:rPr>
          <w:rFonts w:ascii="Arial" w:eastAsia="Arial" w:hAnsi="Arial" w:cs="Arial"/>
        </w:rPr>
        <w:t xml:space="preserve"> requisitos formai</w:t>
      </w:r>
      <w:r w:rsidR="00F41C5B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>:</w:t>
      </w:r>
      <w:r w:rsidR="00E03C70">
        <w:rPr>
          <w:rFonts w:ascii="Arial" w:eastAsia="Arial" w:hAnsi="Arial" w:cs="Arial"/>
        </w:rPr>
        <w:t xml:space="preserve"> </w:t>
      </w:r>
    </w:p>
    <w:p w14:paraId="0C1070F2" w14:textId="77777777" w:rsidR="004B379F" w:rsidRDefault="004B379F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6DC9B746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41C5B">
        <w:rPr>
          <w:rFonts w:ascii="Arial" w:eastAsia="Arial" w:hAnsi="Arial" w:cs="Arial"/>
          <w:b/>
        </w:rPr>
        <w:t xml:space="preserve">I - </w:t>
      </w:r>
      <w:r w:rsidR="00981B60" w:rsidRPr="00F41C5B">
        <w:rPr>
          <w:rFonts w:ascii="Arial" w:eastAsia="Arial" w:hAnsi="Arial" w:cs="Arial"/>
          <w:b/>
        </w:rPr>
        <w:t>qualificação</w:t>
      </w:r>
      <w:r w:rsidR="00E03C70" w:rsidRPr="00F41C5B">
        <w:rPr>
          <w:rFonts w:ascii="Arial" w:eastAsia="Arial" w:hAnsi="Arial" w:cs="Arial"/>
          <w:b/>
        </w:rPr>
        <w:t xml:space="preserve"> </w:t>
      </w:r>
      <w:r w:rsidR="000D3649" w:rsidRPr="00F41C5B">
        <w:rPr>
          <w:rFonts w:ascii="Arial" w:eastAsia="Arial" w:hAnsi="Arial" w:cs="Arial"/>
          <w:b/>
        </w:rPr>
        <w:t xml:space="preserve">do(s) </w:t>
      </w:r>
      <w:r w:rsidR="00981B60" w:rsidRPr="00F41C5B">
        <w:rPr>
          <w:rFonts w:ascii="Arial" w:eastAsia="Arial" w:hAnsi="Arial" w:cs="Arial"/>
          <w:b/>
        </w:rPr>
        <w:t>autor</w:t>
      </w:r>
      <w:r w:rsidR="000D3649" w:rsidRPr="00F41C5B">
        <w:rPr>
          <w:rFonts w:ascii="Arial" w:eastAsia="Arial" w:hAnsi="Arial" w:cs="Arial"/>
          <w:b/>
        </w:rPr>
        <w:t>(s)</w:t>
      </w:r>
      <w:r w:rsidR="00981B60" w:rsidRPr="00F41C5B">
        <w:rPr>
          <w:rFonts w:ascii="Arial" w:eastAsia="Arial" w:hAnsi="Arial" w:cs="Arial"/>
          <w:b/>
        </w:rPr>
        <w:t xml:space="preserve"> ou interessado(a):</w:t>
      </w:r>
      <w:r w:rsidR="00981B60">
        <w:rPr>
          <w:rFonts w:ascii="Arial" w:eastAsia="Arial" w:hAnsi="Arial" w:cs="Arial"/>
        </w:rPr>
        <w:t xml:space="preserve"> não se exige esta verificação</w:t>
      </w:r>
      <w:r w:rsidR="000D3649">
        <w:rPr>
          <w:rFonts w:ascii="Arial" w:eastAsia="Arial" w:hAnsi="Arial" w:cs="Arial"/>
        </w:rPr>
        <w:t xml:space="preserve"> </w:t>
      </w:r>
      <w:r w:rsidR="004B379F">
        <w:rPr>
          <w:rFonts w:ascii="Arial" w:eastAsia="Arial" w:hAnsi="Arial" w:cs="Arial"/>
        </w:rPr>
        <w:t>nos casos de denúncia (art. 89 da LOTCE-GO)</w:t>
      </w:r>
      <w:r w:rsidR="000D3649">
        <w:rPr>
          <w:rFonts w:ascii="Arial" w:eastAsia="Arial" w:hAnsi="Arial" w:cs="Arial"/>
        </w:rPr>
        <w:t>,</w:t>
      </w:r>
      <w:r w:rsidR="004B379F">
        <w:rPr>
          <w:rFonts w:ascii="Arial" w:eastAsia="Arial" w:hAnsi="Arial" w:cs="Arial"/>
        </w:rPr>
        <w:t xml:space="preserve"> e manifestações anônimas que tenham sido recebidas e encaminhadas pela Ouvidoria ou por um(a) Conselheiro(a) Relator(a)</w:t>
      </w:r>
      <w:r>
        <w:rPr>
          <w:rFonts w:ascii="Arial" w:eastAsia="Arial" w:hAnsi="Arial" w:cs="Arial"/>
        </w:rPr>
        <w:t>;</w:t>
      </w:r>
    </w:p>
    <w:p w14:paraId="6E88DD95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13A97F5D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41C5B">
        <w:rPr>
          <w:rFonts w:ascii="Arial" w:eastAsia="Arial" w:hAnsi="Arial" w:cs="Arial"/>
          <w:b/>
        </w:rPr>
        <w:t xml:space="preserve">II - </w:t>
      </w:r>
      <w:r w:rsidR="00E03C70" w:rsidRPr="00F41C5B">
        <w:rPr>
          <w:rFonts w:ascii="Arial" w:eastAsia="Arial" w:hAnsi="Arial" w:cs="Arial"/>
          <w:b/>
        </w:rPr>
        <w:t>legitimidade</w:t>
      </w:r>
      <w:r w:rsidR="000D3649">
        <w:rPr>
          <w:rFonts w:ascii="Arial" w:eastAsia="Arial" w:hAnsi="Arial" w:cs="Arial"/>
        </w:rPr>
        <w:t xml:space="preserve"> para provocar </w:t>
      </w:r>
      <w:r>
        <w:rPr>
          <w:rFonts w:ascii="Arial" w:eastAsia="Arial" w:hAnsi="Arial" w:cs="Arial"/>
        </w:rPr>
        <w:t>a atuação do</w:t>
      </w:r>
      <w:r w:rsidR="000D3649">
        <w:rPr>
          <w:rFonts w:ascii="Arial" w:eastAsia="Arial" w:hAnsi="Arial" w:cs="Arial"/>
        </w:rPr>
        <w:t xml:space="preserve"> Tribunal de Contas</w:t>
      </w:r>
      <w:r>
        <w:rPr>
          <w:rFonts w:ascii="Arial" w:eastAsia="Arial" w:hAnsi="Arial" w:cs="Arial"/>
        </w:rPr>
        <w:t>;</w:t>
      </w:r>
    </w:p>
    <w:p w14:paraId="6887CB5B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3C914138" w14:textId="77777777" w:rsidR="006B36B4" w:rsidRDefault="006B36B4" w:rsidP="006B36B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41C5B">
        <w:rPr>
          <w:rFonts w:ascii="Arial" w:eastAsia="Arial" w:hAnsi="Arial" w:cs="Arial"/>
          <w:b/>
        </w:rPr>
        <w:t>III - existência dos requisitos essenciais de validade da</w:t>
      </w:r>
      <w:r>
        <w:rPr>
          <w:rFonts w:ascii="Arial" w:eastAsia="Arial" w:hAnsi="Arial" w:cs="Arial"/>
        </w:rPr>
        <w:t xml:space="preserve"> </w:t>
      </w:r>
      <w:r w:rsidRPr="00F41C5B">
        <w:rPr>
          <w:rFonts w:ascii="Arial" w:eastAsia="Arial" w:hAnsi="Arial" w:cs="Arial"/>
          <w:b/>
        </w:rPr>
        <w:t>procuração</w:t>
      </w:r>
      <w:r>
        <w:rPr>
          <w:rFonts w:ascii="Arial" w:eastAsia="Arial" w:hAnsi="Arial" w:cs="Arial"/>
        </w:rPr>
        <w:t xml:space="preserve"> quando a manifestação se operar por mandato (art. 653 a art. 666 do Código Civil, c/c art. 103 a art. 106 do Código de Processo Civil);</w:t>
      </w:r>
    </w:p>
    <w:p w14:paraId="2B7FCF0C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6136C0B2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41C5B">
        <w:rPr>
          <w:rFonts w:ascii="Arial" w:eastAsia="Arial" w:hAnsi="Arial" w:cs="Arial"/>
          <w:b/>
        </w:rPr>
        <w:t>IV - matéria de competência</w:t>
      </w:r>
      <w:r>
        <w:rPr>
          <w:rFonts w:ascii="Arial" w:eastAsia="Arial" w:hAnsi="Arial" w:cs="Arial"/>
        </w:rPr>
        <w:t xml:space="preserve"> do Tribunal de Contas do Estado de Goiás;</w:t>
      </w:r>
    </w:p>
    <w:p w14:paraId="0C8B557E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585B7AAB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41C5B">
        <w:rPr>
          <w:rFonts w:ascii="Arial" w:eastAsia="Arial" w:hAnsi="Arial" w:cs="Arial"/>
          <w:b/>
        </w:rPr>
        <w:t>V - suficiência de indícios</w:t>
      </w:r>
      <w:r w:rsidRPr="006B36B4">
        <w:rPr>
          <w:rFonts w:ascii="Arial" w:eastAsia="Arial" w:hAnsi="Arial" w:cs="Arial"/>
        </w:rPr>
        <w:t xml:space="preserve"> concernentes à alegada irregularidade ou ilegalidade;</w:t>
      </w:r>
    </w:p>
    <w:p w14:paraId="487DDF4B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1FEC0CAD" w14:textId="77777777" w:rsidR="006B36B4" w:rsidRDefault="006B36B4" w:rsidP="006B36B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41C5B">
        <w:rPr>
          <w:rFonts w:ascii="Arial" w:eastAsia="Arial" w:hAnsi="Arial" w:cs="Arial"/>
          <w:b/>
        </w:rPr>
        <w:t>VI – tempestividade</w:t>
      </w:r>
      <w:r>
        <w:rPr>
          <w:rFonts w:ascii="Arial" w:eastAsia="Arial" w:hAnsi="Arial" w:cs="Arial"/>
        </w:rPr>
        <w:t>, em se tratando de recursos;</w:t>
      </w:r>
    </w:p>
    <w:p w14:paraId="3DAF06D0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7EA53BB7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41C5B">
        <w:rPr>
          <w:rFonts w:ascii="Arial" w:eastAsia="Arial" w:hAnsi="Arial" w:cs="Arial"/>
          <w:b/>
        </w:rPr>
        <w:t xml:space="preserve">VII - parecer do órgão de assistência técnica ou jurídica </w:t>
      </w:r>
      <w:r w:rsidRPr="006B36B4">
        <w:rPr>
          <w:rFonts w:ascii="Arial" w:eastAsia="Arial" w:hAnsi="Arial" w:cs="Arial"/>
        </w:rPr>
        <w:t>da autoridade consulente</w:t>
      </w:r>
      <w:r>
        <w:rPr>
          <w:rFonts w:ascii="Arial" w:eastAsia="Arial" w:hAnsi="Arial" w:cs="Arial"/>
        </w:rPr>
        <w:t>, quando se tratar de consulta (art. 108, 1° da LOTCE-GO)</w:t>
      </w:r>
    </w:p>
    <w:p w14:paraId="23F0D9BD" w14:textId="77777777" w:rsidR="006B36B4" w:rsidRDefault="006B36B4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69DDDDAE" w14:textId="6D5A61C1" w:rsidR="00E03C70" w:rsidRDefault="00F41C5B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143327">
        <w:rPr>
          <w:rFonts w:ascii="Arial" w:eastAsia="Arial" w:hAnsi="Arial" w:cs="Arial"/>
          <w:b/>
        </w:rPr>
        <w:t>Nota 1</w:t>
      </w:r>
      <w:r>
        <w:rPr>
          <w:rFonts w:ascii="Arial" w:eastAsia="Arial" w:hAnsi="Arial" w:cs="Arial"/>
        </w:rPr>
        <w:t xml:space="preserve">: em processos de denúncia e representação, é desejável que se verifique se o teor da manifestação revela prevalência de interesse público sobre </w:t>
      </w:r>
      <w:r w:rsidR="00143327">
        <w:rPr>
          <w:rFonts w:ascii="Arial" w:eastAsia="Arial" w:hAnsi="Arial" w:cs="Arial"/>
        </w:rPr>
        <w:t>interesses particulares</w:t>
      </w:r>
      <w:r>
        <w:rPr>
          <w:rFonts w:ascii="Arial" w:eastAsia="Arial" w:hAnsi="Arial" w:cs="Arial"/>
        </w:rPr>
        <w:t xml:space="preserve"> nos atos, fatos e possíveis irregularidades narradas. </w:t>
      </w:r>
      <w:r w:rsidR="00143327" w:rsidRPr="00143327">
        <w:rPr>
          <w:rFonts w:ascii="Arial" w:eastAsia="Arial" w:hAnsi="Arial" w:cs="Arial"/>
        </w:rPr>
        <w:t>Não se inserem nas competências do TC</w:t>
      </w:r>
      <w:r w:rsidR="00143327">
        <w:rPr>
          <w:rFonts w:ascii="Arial" w:eastAsia="Arial" w:hAnsi="Arial" w:cs="Arial"/>
        </w:rPr>
        <w:t>E-GO</w:t>
      </w:r>
      <w:r w:rsidR="00143327" w:rsidRPr="00143327">
        <w:rPr>
          <w:rFonts w:ascii="Arial" w:eastAsia="Arial" w:hAnsi="Arial" w:cs="Arial"/>
        </w:rPr>
        <w:t xml:space="preserve"> prolatar provimentos</w:t>
      </w:r>
      <w:r w:rsidR="00143327">
        <w:rPr>
          <w:rFonts w:ascii="Arial" w:eastAsia="Arial" w:hAnsi="Arial" w:cs="Arial"/>
        </w:rPr>
        <w:t xml:space="preserve"> </w:t>
      </w:r>
      <w:r w:rsidR="00143327" w:rsidRPr="00143327">
        <w:rPr>
          <w:rFonts w:ascii="Arial" w:eastAsia="Arial" w:hAnsi="Arial" w:cs="Arial"/>
        </w:rPr>
        <w:t xml:space="preserve">em substituição </w:t>
      </w:r>
      <w:r w:rsidR="00143327">
        <w:rPr>
          <w:rFonts w:ascii="Arial" w:eastAsia="Arial" w:hAnsi="Arial" w:cs="Arial"/>
        </w:rPr>
        <w:t>a</w:t>
      </w:r>
      <w:r w:rsidR="00143327" w:rsidRPr="00143327">
        <w:rPr>
          <w:rFonts w:ascii="Arial" w:eastAsia="Arial" w:hAnsi="Arial" w:cs="Arial"/>
        </w:rPr>
        <w:t xml:space="preserve"> tutela</w:t>
      </w:r>
      <w:r w:rsidR="00143327">
        <w:rPr>
          <w:rFonts w:ascii="Arial" w:eastAsia="Arial" w:hAnsi="Arial" w:cs="Arial"/>
        </w:rPr>
        <w:t>s</w:t>
      </w:r>
      <w:r w:rsidR="00143327" w:rsidRPr="00143327">
        <w:rPr>
          <w:rFonts w:ascii="Arial" w:eastAsia="Arial" w:hAnsi="Arial" w:cs="Arial"/>
        </w:rPr>
        <w:t xml:space="preserve"> jurisdicionais </w:t>
      </w:r>
      <w:r w:rsidR="00143327">
        <w:rPr>
          <w:rFonts w:ascii="Arial" w:eastAsia="Arial" w:hAnsi="Arial" w:cs="Arial"/>
        </w:rPr>
        <w:t>adequadas à</w:t>
      </w:r>
      <w:r w:rsidR="00143327" w:rsidRPr="00143327">
        <w:rPr>
          <w:rFonts w:ascii="Arial" w:eastAsia="Arial" w:hAnsi="Arial" w:cs="Arial"/>
        </w:rPr>
        <w:t xml:space="preserve"> salvaguarda de direitos e</w:t>
      </w:r>
      <w:r w:rsidR="00143327">
        <w:rPr>
          <w:rFonts w:ascii="Arial" w:eastAsia="Arial" w:hAnsi="Arial" w:cs="Arial"/>
        </w:rPr>
        <w:t xml:space="preserve"> </w:t>
      </w:r>
      <w:r w:rsidR="00143327" w:rsidRPr="00143327">
        <w:rPr>
          <w:rFonts w:ascii="Arial" w:eastAsia="Arial" w:hAnsi="Arial" w:cs="Arial"/>
        </w:rPr>
        <w:t>interesses subjetivos</w:t>
      </w:r>
      <w:r w:rsidR="00143327">
        <w:rPr>
          <w:rFonts w:ascii="Arial" w:eastAsia="Arial" w:hAnsi="Arial" w:cs="Arial"/>
        </w:rPr>
        <w:t xml:space="preserve"> eminentemente privados/particulares</w:t>
      </w:r>
      <w:r w:rsidR="00143327" w:rsidRPr="00143327">
        <w:rPr>
          <w:rFonts w:ascii="Arial" w:eastAsia="Arial" w:hAnsi="Arial" w:cs="Arial"/>
        </w:rPr>
        <w:t>, salvo se, de forma reflexa</w:t>
      </w:r>
      <w:r w:rsidR="00143327">
        <w:rPr>
          <w:rFonts w:ascii="Arial" w:eastAsia="Arial" w:hAnsi="Arial" w:cs="Arial"/>
        </w:rPr>
        <w:t xml:space="preserve"> e relevante</w:t>
      </w:r>
      <w:r w:rsidR="00143327" w:rsidRPr="00143327">
        <w:rPr>
          <w:rFonts w:ascii="Arial" w:eastAsia="Arial" w:hAnsi="Arial" w:cs="Arial"/>
        </w:rPr>
        <w:t>, afetarem o patrimônio público ou causarem prejuízo ao</w:t>
      </w:r>
      <w:r w:rsidR="00143327">
        <w:rPr>
          <w:rFonts w:ascii="Arial" w:eastAsia="Arial" w:hAnsi="Arial" w:cs="Arial"/>
        </w:rPr>
        <w:t xml:space="preserve"> </w:t>
      </w:r>
      <w:r w:rsidR="00143327" w:rsidRPr="00143327">
        <w:rPr>
          <w:rFonts w:ascii="Arial" w:eastAsia="Arial" w:hAnsi="Arial" w:cs="Arial"/>
        </w:rPr>
        <w:t>erário</w:t>
      </w:r>
      <w:r w:rsidR="00143327">
        <w:rPr>
          <w:rFonts w:ascii="Arial" w:eastAsia="Arial" w:hAnsi="Arial" w:cs="Arial"/>
        </w:rPr>
        <w:t>.</w:t>
      </w:r>
    </w:p>
    <w:p w14:paraId="7F8E5AFC" w14:textId="77777777" w:rsidR="00143327" w:rsidRDefault="00143327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134582A4" w14:textId="10136D74" w:rsidR="00E03C70" w:rsidRDefault="00143327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143327">
        <w:rPr>
          <w:rFonts w:ascii="Arial" w:eastAsia="Arial" w:hAnsi="Arial" w:cs="Arial"/>
          <w:b/>
        </w:rPr>
        <w:t xml:space="preserve">Nota </w:t>
      </w:r>
      <w:r w:rsidR="005F15BF">
        <w:rPr>
          <w:rFonts w:ascii="Arial" w:eastAsia="Arial" w:hAnsi="Arial" w:cs="Arial"/>
          <w:b/>
        </w:rPr>
        <w:t>2</w:t>
      </w:r>
      <w:r>
        <w:rPr>
          <w:rFonts w:ascii="Arial" w:eastAsia="Arial" w:hAnsi="Arial" w:cs="Arial"/>
        </w:rPr>
        <w:t xml:space="preserve">: </w:t>
      </w:r>
      <w:r w:rsidR="00E03C70">
        <w:rPr>
          <w:rFonts w:ascii="Arial" w:eastAsia="Arial" w:hAnsi="Arial" w:cs="Arial"/>
        </w:rPr>
        <w:t xml:space="preserve">Se </w:t>
      </w:r>
      <w:r w:rsidR="00F41C5B">
        <w:rPr>
          <w:rFonts w:ascii="Arial" w:eastAsia="Arial" w:hAnsi="Arial" w:cs="Arial"/>
        </w:rPr>
        <w:t>a natureza do processo não exigir</w:t>
      </w:r>
      <w:r w:rsidR="00E03C70">
        <w:rPr>
          <w:rFonts w:ascii="Arial" w:eastAsia="Arial" w:hAnsi="Arial" w:cs="Arial"/>
        </w:rPr>
        <w:t xml:space="preserve"> exame de admissibilidade, deve-se retirar este </w:t>
      </w:r>
      <w:r w:rsidR="00F41C5B">
        <w:rPr>
          <w:rFonts w:ascii="Arial" w:eastAsia="Arial" w:hAnsi="Arial" w:cs="Arial"/>
        </w:rPr>
        <w:t>capítulo</w:t>
      </w:r>
      <w:r w:rsidR="00E03C70">
        <w:rPr>
          <w:rFonts w:ascii="Arial" w:eastAsia="Arial" w:hAnsi="Arial" w:cs="Arial"/>
        </w:rPr>
        <w:t xml:space="preserve">, </w:t>
      </w:r>
      <w:r w:rsidR="00F41C5B">
        <w:rPr>
          <w:rFonts w:ascii="Arial" w:eastAsia="Arial" w:hAnsi="Arial" w:cs="Arial"/>
        </w:rPr>
        <w:t xml:space="preserve">e renumerar os capítulos posteriores, </w:t>
      </w:r>
      <w:r w:rsidR="00E03C70">
        <w:rPr>
          <w:rFonts w:ascii="Arial" w:eastAsia="Arial" w:hAnsi="Arial" w:cs="Arial"/>
        </w:rPr>
        <w:t xml:space="preserve">ficando </w:t>
      </w:r>
      <w:r w:rsidR="005F15BF">
        <w:rPr>
          <w:rFonts w:ascii="Arial" w:eastAsia="Arial" w:hAnsi="Arial" w:cs="Arial"/>
        </w:rPr>
        <w:t>a</w:t>
      </w:r>
      <w:r w:rsidR="00E03C70">
        <w:rPr>
          <w:rFonts w:ascii="Arial" w:eastAsia="Arial" w:hAnsi="Arial" w:cs="Arial"/>
        </w:rPr>
        <w:t xml:space="preserve"> </w:t>
      </w:r>
      <w:r w:rsidR="005F15BF">
        <w:rPr>
          <w:rFonts w:ascii="Arial" w:eastAsia="Arial" w:hAnsi="Arial" w:cs="Arial"/>
        </w:rPr>
        <w:t>ANÁLISE TÉCNICA</w:t>
      </w:r>
      <w:r w:rsidR="00E03C70">
        <w:rPr>
          <w:rFonts w:ascii="Arial" w:eastAsia="Arial" w:hAnsi="Arial" w:cs="Arial"/>
        </w:rPr>
        <w:t xml:space="preserve"> com</w:t>
      </w:r>
      <w:r w:rsidR="00F41C5B">
        <w:rPr>
          <w:rFonts w:ascii="Arial" w:eastAsia="Arial" w:hAnsi="Arial" w:cs="Arial"/>
        </w:rPr>
        <w:t xml:space="preserve"> </w:t>
      </w:r>
      <w:r w:rsidR="00E03C70">
        <w:rPr>
          <w:rFonts w:ascii="Arial" w:eastAsia="Arial" w:hAnsi="Arial" w:cs="Arial"/>
        </w:rPr>
        <w:t xml:space="preserve">o </w:t>
      </w:r>
      <w:r w:rsidR="00F41C5B">
        <w:rPr>
          <w:rFonts w:ascii="Arial" w:eastAsia="Arial" w:hAnsi="Arial" w:cs="Arial"/>
        </w:rPr>
        <w:t>número</w:t>
      </w:r>
      <w:r w:rsidR="00E03C70">
        <w:rPr>
          <w:rFonts w:ascii="Arial" w:eastAsia="Arial" w:hAnsi="Arial" w:cs="Arial"/>
        </w:rPr>
        <w:t xml:space="preserve"> 2.</w:t>
      </w:r>
    </w:p>
    <w:p w14:paraId="6CB18240" w14:textId="77777777" w:rsidR="00143327" w:rsidRDefault="00143327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70DEC5B0" w14:textId="77777777" w:rsidR="00143327" w:rsidRDefault="00143327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2D52D545" w14:textId="77777777" w:rsidR="00143327" w:rsidRDefault="00143327" w:rsidP="00E03C7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5DCC73EF" w14:textId="4AE0EB08" w:rsidR="003916B8" w:rsidRDefault="00143327" w:rsidP="00143327">
      <w:pPr>
        <w:pStyle w:val="western"/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  <w:bookmarkStart w:id="2" w:name="_Hlk170220920"/>
      <w:r>
        <w:rPr>
          <w:rFonts w:ascii="Arial" w:hAnsi="Arial" w:cs="Arial"/>
          <w:b/>
          <w:sz w:val="22"/>
          <w:szCs w:val="22"/>
        </w:rPr>
        <w:lastRenderedPageBreak/>
        <w:t xml:space="preserve">3. </w:t>
      </w:r>
      <w:r w:rsidR="001F5D37">
        <w:rPr>
          <w:rFonts w:ascii="Arial" w:hAnsi="Arial" w:cs="Arial"/>
          <w:b/>
          <w:sz w:val="22"/>
          <w:szCs w:val="22"/>
        </w:rPr>
        <w:t>ANÁLISE TÉCNICA</w:t>
      </w:r>
    </w:p>
    <w:p w14:paraId="078876B0" w14:textId="77777777" w:rsidR="003916B8" w:rsidRDefault="003916B8" w:rsidP="003916B8">
      <w:pPr>
        <w:pStyle w:val="western"/>
        <w:tabs>
          <w:tab w:val="left" w:pos="284"/>
        </w:tabs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</w:p>
    <w:p w14:paraId="4840EC5A" w14:textId="77777777" w:rsidR="005F15BF" w:rsidRDefault="005F15BF" w:rsidP="005F15BF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bookmarkStart w:id="3" w:name="_Hlk170220776"/>
      <w:bookmarkEnd w:id="2"/>
      <w:r>
        <w:rPr>
          <w:rFonts w:ascii="Arial" w:eastAsia="Arial" w:hAnsi="Arial" w:cs="Arial"/>
        </w:rPr>
        <w:t xml:space="preserve">A análise técnica deve ser clara, objetiva e baseada em normas, regulamentações e boas práticas aplicáveis, e sempre que cabível, se orientar pelos procedimentos e instruções de trabalho porventura existentes que definem ou orientam os contornos da análise para objetos específicos. </w:t>
      </w:r>
    </w:p>
    <w:p w14:paraId="78240406" w14:textId="77777777" w:rsidR="00D63994" w:rsidRDefault="00D63994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18BB4182" w14:textId="77777777" w:rsidR="00D63994" w:rsidRDefault="00143327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Também deve </w:t>
      </w:r>
      <w:r w:rsidR="00D63994">
        <w:rPr>
          <w:rFonts w:ascii="Arial" w:eastAsia="Arial" w:hAnsi="Arial" w:cs="Arial"/>
        </w:rPr>
        <w:t>detalhar o que foi avaliado, bem como</w:t>
      </w:r>
      <w:r>
        <w:rPr>
          <w:rFonts w:ascii="Arial" w:eastAsia="Arial" w:hAnsi="Arial" w:cs="Arial"/>
        </w:rPr>
        <w:t xml:space="preserve"> </w:t>
      </w:r>
      <w:r w:rsidR="00D63994">
        <w:rPr>
          <w:rFonts w:ascii="Arial" w:eastAsia="Arial" w:hAnsi="Arial" w:cs="Arial"/>
        </w:rPr>
        <w:t>os parâmetros normativos, documentais, jurisprudenciais, teóricos e técnicos utilizados para a análise</w:t>
      </w:r>
      <w:r>
        <w:rPr>
          <w:rFonts w:ascii="Arial" w:eastAsia="Arial" w:hAnsi="Arial" w:cs="Arial"/>
        </w:rPr>
        <w:t xml:space="preserve">, apontando as </w:t>
      </w:r>
      <w:r w:rsidR="00D63994">
        <w:rPr>
          <w:rFonts w:ascii="Arial" w:eastAsia="Arial" w:hAnsi="Arial" w:cs="Arial"/>
        </w:rPr>
        <w:t xml:space="preserve">possíveis </w:t>
      </w:r>
      <w:r>
        <w:rPr>
          <w:rFonts w:ascii="Arial" w:eastAsia="Arial" w:hAnsi="Arial" w:cs="Arial"/>
        </w:rPr>
        <w:t>irregularidades detectadas</w:t>
      </w:r>
      <w:r w:rsidR="00D63994">
        <w:rPr>
          <w:rFonts w:ascii="Arial" w:eastAsia="Arial" w:hAnsi="Arial" w:cs="Arial"/>
        </w:rPr>
        <w:t>, e os respectivos responsáveis.</w:t>
      </w:r>
    </w:p>
    <w:p w14:paraId="62CCDE48" w14:textId="77777777" w:rsidR="00143327" w:rsidRDefault="00143327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687869FD" w14:textId="77777777" w:rsidR="00A84A7A" w:rsidRDefault="00D63994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 prevenir nulidades, e resguardar os padrões de qualidade, deve-se adotar refinado cuidado na</w:t>
      </w:r>
      <w:r w:rsidR="00143327">
        <w:rPr>
          <w:rFonts w:ascii="Arial" w:eastAsia="Arial" w:hAnsi="Arial" w:cs="Arial"/>
        </w:rPr>
        <w:t xml:space="preserve"> identificação </w:t>
      </w:r>
      <w:r>
        <w:rPr>
          <w:rFonts w:ascii="Arial" w:eastAsia="Arial" w:hAnsi="Arial" w:cs="Arial"/>
        </w:rPr>
        <w:t>de responsáveis e interessados. E</w:t>
      </w:r>
      <w:r w:rsidR="00A84A7A">
        <w:rPr>
          <w:rFonts w:ascii="Arial" w:eastAsia="Arial" w:hAnsi="Arial" w:cs="Arial"/>
        </w:rPr>
        <w:t xml:space="preserve">m processos que veiculem </w:t>
      </w:r>
      <w:r w:rsidR="00A84A7A" w:rsidRPr="00382201">
        <w:rPr>
          <w:rFonts w:ascii="Arial" w:eastAsia="Arial" w:hAnsi="Arial" w:cs="Arial"/>
          <w:u w:val="single"/>
        </w:rPr>
        <w:t>recursos e consultas</w:t>
      </w:r>
      <w:r w:rsidR="00A84A7A">
        <w:rPr>
          <w:rFonts w:ascii="Arial" w:eastAsia="Arial" w:hAnsi="Arial" w:cs="Arial"/>
        </w:rPr>
        <w:t>, a análise deve atentar para o teor</w:t>
      </w:r>
      <w:r w:rsidR="00143327">
        <w:rPr>
          <w:rFonts w:ascii="Arial" w:eastAsia="Arial" w:hAnsi="Arial" w:cs="Arial"/>
        </w:rPr>
        <w:t xml:space="preserve"> dos pedidos formulados. </w:t>
      </w:r>
    </w:p>
    <w:p w14:paraId="6E86F615" w14:textId="77777777" w:rsidR="00A84A7A" w:rsidRDefault="00A84A7A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4A9B8867" w14:textId="77777777" w:rsidR="00143327" w:rsidRDefault="00A84A7A" w:rsidP="00382201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Importante destacar que, </w:t>
      </w:r>
      <w:r w:rsidRPr="00382201">
        <w:rPr>
          <w:rFonts w:ascii="Arial" w:eastAsia="Arial" w:hAnsi="Arial" w:cs="Arial"/>
          <w:u w:val="single"/>
        </w:rPr>
        <w:t>em denúncias e representações</w:t>
      </w:r>
      <w:r>
        <w:rPr>
          <w:rFonts w:ascii="Arial" w:eastAsia="Arial" w:hAnsi="Arial" w:cs="Arial"/>
        </w:rPr>
        <w:t xml:space="preserve">, a </w:t>
      </w:r>
      <w:r w:rsidR="00143327">
        <w:rPr>
          <w:rFonts w:ascii="Arial" w:eastAsia="Arial" w:hAnsi="Arial" w:cs="Arial"/>
        </w:rPr>
        <w:t xml:space="preserve">análise realizada não está restrita </w:t>
      </w:r>
      <w:r>
        <w:rPr>
          <w:rFonts w:ascii="Arial" w:eastAsia="Arial" w:hAnsi="Arial" w:cs="Arial"/>
        </w:rPr>
        <w:t>aos limites e aos termos do que foi</w:t>
      </w:r>
      <w:r w:rsidR="00143327">
        <w:rPr>
          <w:rFonts w:ascii="Arial" w:eastAsia="Arial" w:hAnsi="Arial" w:cs="Arial"/>
        </w:rPr>
        <w:t xml:space="preserve"> formulado</w:t>
      </w:r>
      <w:r>
        <w:rPr>
          <w:rFonts w:ascii="Arial" w:eastAsia="Arial" w:hAnsi="Arial" w:cs="Arial"/>
        </w:rPr>
        <w:t xml:space="preserve"> na manifestação inicial</w:t>
      </w:r>
      <w:r w:rsidR="00143327">
        <w:rPr>
          <w:rFonts w:ascii="Arial" w:eastAsia="Arial" w:hAnsi="Arial" w:cs="Arial"/>
        </w:rPr>
        <w:t xml:space="preserve">, tendo em vista </w:t>
      </w:r>
      <w:r w:rsidR="00382201">
        <w:rPr>
          <w:rFonts w:ascii="Arial" w:eastAsia="Arial" w:hAnsi="Arial" w:cs="Arial"/>
        </w:rPr>
        <w:t>as competências previstas no art. 1º da LOTCE-GO e o</w:t>
      </w:r>
      <w:r w:rsidR="00143327">
        <w:rPr>
          <w:rFonts w:ascii="Arial" w:eastAsia="Arial" w:hAnsi="Arial" w:cs="Arial"/>
        </w:rPr>
        <w:t xml:space="preserve"> interesse público envolvido.</w:t>
      </w:r>
      <w:r w:rsidR="00382201">
        <w:rPr>
          <w:rFonts w:ascii="Arial" w:eastAsia="Arial" w:hAnsi="Arial" w:cs="Arial"/>
        </w:rPr>
        <w:t xml:space="preserve"> Portanto, n</w:t>
      </w:r>
      <w:r w:rsidR="00382201" w:rsidRPr="00382201">
        <w:rPr>
          <w:rFonts w:ascii="Arial" w:eastAsia="Arial" w:hAnsi="Arial" w:cs="Arial"/>
        </w:rPr>
        <w:t>ão há obrigatoriedade de abertura de novo processo para apuração de fatos que se</w:t>
      </w:r>
      <w:r w:rsidR="00382201">
        <w:rPr>
          <w:rFonts w:ascii="Arial" w:eastAsia="Arial" w:hAnsi="Arial" w:cs="Arial"/>
        </w:rPr>
        <w:t xml:space="preserve"> </w:t>
      </w:r>
      <w:r w:rsidR="00382201" w:rsidRPr="00382201">
        <w:rPr>
          <w:rFonts w:ascii="Arial" w:eastAsia="Arial" w:hAnsi="Arial" w:cs="Arial"/>
        </w:rPr>
        <w:t>sobressaiam ao objeto definido no início da apuração de uma representação e/ou denúncia</w:t>
      </w:r>
      <w:r w:rsidR="00382201">
        <w:rPr>
          <w:rFonts w:ascii="Arial" w:eastAsia="Arial" w:hAnsi="Arial" w:cs="Arial"/>
        </w:rPr>
        <w:t>.</w:t>
      </w:r>
    </w:p>
    <w:p w14:paraId="4BCCAC29" w14:textId="77777777" w:rsidR="00143327" w:rsidRDefault="00143327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05F58B72" w14:textId="77777777" w:rsidR="00143327" w:rsidRDefault="00143327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</w:t>
      </w:r>
      <w:r w:rsidR="00382201">
        <w:rPr>
          <w:rFonts w:ascii="Arial" w:eastAsia="Arial" w:hAnsi="Arial" w:cs="Arial"/>
        </w:rPr>
        <w:t>-se primar por uma construção textual</w:t>
      </w:r>
      <w:r>
        <w:rPr>
          <w:rFonts w:ascii="Arial" w:eastAsia="Arial" w:hAnsi="Arial" w:cs="Arial"/>
        </w:rPr>
        <w:t xml:space="preserve"> lógica e coes</w:t>
      </w:r>
      <w:r w:rsidR="00382201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, assegurando-se redação clara e objetiva, </w:t>
      </w:r>
      <w:r w:rsidR="00382201">
        <w:rPr>
          <w:rFonts w:ascii="Arial" w:eastAsia="Arial" w:hAnsi="Arial" w:cs="Arial"/>
        </w:rPr>
        <w:t>de modo a permitir, com facilidade,</w:t>
      </w:r>
      <w:r>
        <w:rPr>
          <w:rFonts w:ascii="Arial" w:eastAsia="Arial" w:hAnsi="Arial" w:cs="Arial"/>
        </w:rPr>
        <w:t xml:space="preserve"> a compreensão</w:t>
      </w:r>
      <w:r w:rsidR="00382201">
        <w:rPr>
          <w:rFonts w:ascii="Arial" w:eastAsia="Arial" w:hAnsi="Arial" w:cs="Arial"/>
        </w:rPr>
        <w:t xml:space="preserve"> da análise e das diligências propostas</w:t>
      </w:r>
      <w:r>
        <w:rPr>
          <w:rFonts w:ascii="Arial" w:eastAsia="Arial" w:hAnsi="Arial" w:cs="Arial"/>
        </w:rPr>
        <w:t xml:space="preserve"> pelo julgador</w:t>
      </w:r>
      <w:r w:rsidR="00382201">
        <w:rPr>
          <w:rFonts w:ascii="Arial" w:eastAsia="Arial" w:hAnsi="Arial" w:cs="Arial"/>
        </w:rPr>
        <w:t xml:space="preserve"> e demais interessado</w:t>
      </w:r>
      <w:r>
        <w:rPr>
          <w:rFonts w:ascii="Arial" w:eastAsia="Arial" w:hAnsi="Arial" w:cs="Arial"/>
        </w:rPr>
        <w:t>. Por fim, é fundamental verificar a observância dos prazos legais para evitar quaisquer nulidades ou intempestividades.</w:t>
      </w:r>
    </w:p>
    <w:p w14:paraId="37F35321" w14:textId="77777777" w:rsidR="00143327" w:rsidRDefault="00143327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0CC8F41B" w14:textId="77777777" w:rsidR="00143327" w:rsidRDefault="00382201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 w:rsidR="00143327">
        <w:rPr>
          <w:rFonts w:ascii="Arial" w:eastAsia="Arial" w:hAnsi="Arial" w:cs="Arial"/>
        </w:rPr>
        <w:t xml:space="preserve">s especificações de formatação de texto, tabelas e demais normas de elaboração de documentos previstas no </w:t>
      </w:r>
      <w:hyperlink r:id="rId8">
        <w:r w:rsidR="00143327">
          <w:rPr>
            <w:rFonts w:ascii="Arial" w:eastAsia="Arial" w:hAnsi="Arial" w:cs="Arial"/>
            <w:color w:val="1155CC"/>
            <w:u w:val="single"/>
          </w:rPr>
          <w:t>Manual de Especificação e Padronização Documental</w:t>
        </w:r>
      </w:hyperlink>
      <w:r>
        <w:rPr>
          <w:rFonts w:ascii="Arial" w:eastAsia="Arial" w:hAnsi="Arial" w:cs="Arial"/>
        </w:rPr>
        <w:t xml:space="preserve"> devem ser sempre observadas.</w:t>
      </w:r>
    </w:p>
    <w:bookmarkEnd w:id="3"/>
    <w:p w14:paraId="14495E7E" w14:textId="77777777" w:rsidR="00382201" w:rsidRDefault="00382201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5DBAC177" w14:textId="77777777" w:rsidR="00382201" w:rsidRDefault="00382201" w:rsidP="00143327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Instruções Técnicas não conclusivas não se utilizam da seção de “Conclusão”.</w:t>
      </w:r>
    </w:p>
    <w:p w14:paraId="7F44270C" w14:textId="77777777" w:rsidR="003916B8" w:rsidRDefault="003916B8" w:rsidP="003916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749AE4AD" w14:textId="77777777" w:rsidR="00382201" w:rsidRPr="004826C7" w:rsidRDefault="00382201" w:rsidP="00382201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  <w:r w:rsidRPr="004826C7">
        <w:rPr>
          <w:rFonts w:ascii="Arial" w:hAnsi="Arial" w:cs="Arial"/>
          <w:b/>
          <w:color w:val="FF0000"/>
          <w:sz w:val="22"/>
          <w:szCs w:val="22"/>
        </w:rPr>
        <w:t>Importante</w:t>
      </w:r>
      <w:r w:rsidRPr="004826C7">
        <w:rPr>
          <w:rFonts w:ascii="Arial" w:hAnsi="Arial" w:cs="Arial"/>
          <w:color w:val="FF0000"/>
          <w:sz w:val="22"/>
          <w:szCs w:val="22"/>
        </w:rPr>
        <w:t xml:space="preserve">: À luz dos princípios da </w:t>
      </w:r>
      <w:r w:rsidRPr="00800B41">
        <w:rPr>
          <w:rFonts w:ascii="Arial" w:hAnsi="Arial" w:cs="Arial"/>
          <w:color w:val="FF0000"/>
          <w:sz w:val="22"/>
          <w:szCs w:val="22"/>
        </w:rPr>
        <w:t>razoável duração do processo</w:t>
      </w:r>
      <w:r>
        <w:rPr>
          <w:rFonts w:ascii="Arial" w:hAnsi="Arial" w:cs="Arial"/>
          <w:color w:val="FF0000"/>
          <w:sz w:val="22"/>
          <w:szCs w:val="22"/>
        </w:rPr>
        <w:t xml:space="preserve"> (art. 5</w:t>
      </w:r>
      <w:proofErr w:type="gramStart"/>
      <w:r>
        <w:rPr>
          <w:rFonts w:ascii="Arial" w:hAnsi="Arial" w:cs="Arial"/>
          <w:color w:val="FF0000"/>
          <w:sz w:val="22"/>
          <w:szCs w:val="22"/>
        </w:rPr>
        <w:t>°,  LXXVIII</w:t>
      </w:r>
      <w:proofErr w:type="gramEnd"/>
      <w:r>
        <w:rPr>
          <w:rFonts w:ascii="Arial" w:hAnsi="Arial" w:cs="Arial"/>
          <w:color w:val="FF0000"/>
          <w:sz w:val="22"/>
          <w:szCs w:val="22"/>
        </w:rPr>
        <w:t xml:space="preserve"> da CR/88), do formalismo moderado (art.  46 da LOTCE-GO), da </w:t>
      </w:r>
      <w:r w:rsidRPr="004826C7">
        <w:rPr>
          <w:rFonts w:ascii="Arial" w:hAnsi="Arial" w:cs="Arial"/>
          <w:color w:val="FF0000"/>
          <w:sz w:val="22"/>
          <w:szCs w:val="22"/>
        </w:rPr>
        <w:t>racionalização administrativa e economia processual</w:t>
      </w:r>
      <w:r>
        <w:rPr>
          <w:rFonts w:ascii="Arial" w:hAnsi="Arial" w:cs="Arial"/>
          <w:color w:val="FF0000"/>
          <w:sz w:val="22"/>
          <w:szCs w:val="22"/>
        </w:rPr>
        <w:t xml:space="preserve"> (art. 66, §3° e art. 76 da LOTCE-GO), </w:t>
      </w:r>
      <w:r w:rsidRPr="004826C7">
        <w:rPr>
          <w:rFonts w:ascii="Arial" w:hAnsi="Arial" w:cs="Arial"/>
          <w:b/>
          <w:color w:val="FF0000"/>
          <w:sz w:val="22"/>
          <w:szCs w:val="22"/>
        </w:rPr>
        <w:t>é desejável</w:t>
      </w:r>
      <w:r>
        <w:rPr>
          <w:rFonts w:ascii="Arial" w:hAnsi="Arial" w:cs="Arial"/>
          <w:color w:val="FF0000"/>
          <w:sz w:val="22"/>
          <w:szCs w:val="22"/>
        </w:rPr>
        <w:t xml:space="preserve"> que análise preliminar a ser consubstanciada nesta Instrução não conclusiva seja realizada de forma que </w:t>
      </w:r>
      <w:r w:rsidRPr="004826C7">
        <w:rPr>
          <w:rFonts w:ascii="Arial" w:hAnsi="Arial" w:cs="Arial"/>
          <w:color w:val="FF0000"/>
          <w:sz w:val="22"/>
          <w:szCs w:val="22"/>
        </w:rPr>
        <w:t xml:space="preserve">todas as providências necessárias ao completo saneamento do processo sejam identificadas, sugeridas, e realizadas, </w:t>
      </w:r>
      <w:r w:rsidRPr="004826C7">
        <w:rPr>
          <w:rFonts w:ascii="Arial" w:hAnsi="Arial" w:cs="Arial"/>
          <w:b/>
          <w:color w:val="FF0000"/>
          <w:sz w:val="22"/>
          <w:szCs w:val="22"/>
        </w:rPr>
        <w:t>uma única vez</w:t>
      </w:r>
      <w:r w:rsidRPr="004826C7">
        <w:rPr>
          <w:rFonts w:ascii="Arial" w:hAnsi="Arial" w:cs="Arial"/>
          <w:color w:val="FF0000"/>
          <w:sz w:val="22"/>
          <w:szCs w:val="22"/>
        </w:rPr>
        <w:t>.</w:t>
      </w:r>
    </w:p>
    <w:p w14:paraId="7543C1A5" w14:textId="77777777" w:rsidR="00382201" w:rsidRDefault="00382201" w:rsidP="003916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4368E06F" w14:textId="77777777" w:rsidR="003916B8" w:rsidRDefault="003916B8" w:rsidP="003916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2976E827" w14:textId="77777777" w:rsidR="003916B8" w:rsidRPr="004A2E15" w:rsidRDefault="003916B8" w:rsidP="003916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51B4F43D" w14:textId="77777777" w:rsidR="003916B8" w:rsidRDefault="003916B8" w:rsidP="003916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b/>
        </w:rPr>
        <w:t xml:space="preserve">3. </w:t>
      </w:r>
      <w:r w:rsidRPr="00CC5120">
        <w:rPr>
          <w:rFonts w:ascii="Arial" w:hAnsi="Arial" w:cs="Arial"/>
          <w:b/>
          <w:bCs/>
        </w:rPr>
        <w:t>PROPOSTA DE ENCAMINHAMENTO</w:t>
      </w:r>
    </w:p>
    <w:p w14:paraId="260A9A5C" w14:textId="77777777" w:rsidR="003916B8" w:rsidRPr="00CC5120" w:rsidRDefault="003916B8" w:rsidP="003916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FD078DC" w14:textId="7D9E753A" w:rsidR="003916B8" w:rsidRPr="00F678D5" w:rsidRDefault="003916B8" w:rsidP="003916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CC5120">
        <w:rPr>
          <w:rFonts w:ascii="Arial" w:hAnsi="Arial" w:cs="Arial"/>
          <w:color w:val="FF0000"/>
          <w:highlight w:val="lightGray"/>
        </w:rPr>
        <w:t>A Proposta de encaminhamento destina-se ao registro</w:t>
      </w:r>
      <w:r>
        <w:rPr>
          <w:rFonts w:ascii="Arial" w:hAnsi="Arial" w:cs="Arial"/>
          <w:color w:val="FF0000"/>
          <w:highlight w:val="lightGray"/>
        </w:rPr>
        <w:t xml:space="preserve"> </w:t>
      </w:r>
      <w:r w:rsidR="001E241C">
        <w:rPr>
          <w:rFonts w:ascii="Arial" w:hAnsi="Arial" w:cs="Arial"/>
          <w:color w:val="FF0000"/>
          <w:highlight w:val="lightGray"/>
        </w:rPr>
        <w:t>objetivo, direto e claro</w:t>
      </w:r>
      <w:r>
        <w:rPr>
          <w:rFonts w:ascii="Arial" w:hAnsi="Arial" w:cs="Arial"/>
          <w:color w:val="FF0000"/>
          <w:highlight w:val="lightGray"/>
        </w:rPr>
        <w:t xml:space="preserve"> das providências/diligências sugeridas pela unidade técnica</w:t>
      </w:r>
      <w:r w:rsidR="001E241C">
        <w:rPr>
          <w:rFonts w:ascii="Arial" w:hAnsi="Arial" w:cs="Arial"/>
          <w:color w:val="FF0000"/>
          <w:highlight w:val="lightGray"/>
        </w:rPr>
        <w:t>, necessárias a complementação da instrução processual ou ao seu saneamento.</w:t>
      </w:r>
      <w:r w:rsidRPr="00F678D5">
        <w:rPr>
          <w:rFonts w:ascii="Arial" w:eastAsia="Times New Roman" w:hAnsi="Arial" w:cs="Arial"/>
        </w:rPr>
        <w:tab/>
      </w:r>
    </w:p>
    <w:p w14:paraId="7BB98E06" w14:textId="77777777" w:rsidR="003916B8" w:rsidRPr="00F678D5" w:rsidRDefault="003916B8" w:rsidP="003916B8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188A70FF" w14:textId="50E13C98" w:rsidR="003916B8" w:rsidRDefault="003916B8" w:rsidP="003916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</w:rPr>
        <w:t xml:space="preserve">Diante </w:t>
      </w:r>
      <w:r w:rsidR="00CF1DCE">
        <w:rPr>
          <w:rFonts w:ascii="Arial" w:hAnsi="Arial" w:cs="Arial"/>
        </w:rPr>
        <w:t>da análise realizada</w:t>
      </w:r>
      <w:r w:rsidRPr="00CC5120">
        <w:rPr>
          <w:rFonts w:ascii="Arial" w:hAnsi="Arial" w:cs="Arial"/>
        </w:rPr>
        <w:t xml:space="preserve">, sugere-se ao </w:t>
      </w:r>
      <w:r>
        <w:rPr>
          <w:rFonts w:ascii="Arial" w:hAnsi="Arial" w:cs="Arial"/>
        </w:rPr>
        <w:t>Conselheiro Relator</w:t>
      </w:r>
      <w:r w:rsidRPr="00CC5120">
        <w:rPr>
          <w:rFonts w:ascii="Arial" w:hAnsi="Arial" w:cs="Arial"/>
        </w:rPr>
        <w:t xml:space="preserve"> que:</w:t>
      </w:r>
    </w:p>
    <w:p w14:paraId="121DA102" w14:textId="77777777" w:rsidR="003916B8" w:rsidRPr="00CC5120" w:rsidRDefault="003916B8" w:rsidP="003916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0B36B0" w14:textId="6D214A84" w:rsidR="00CF1DCE" w:rsidRDefault="003916B8" w:rsidP="00CF1DC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>Determine</w:t>
      </w:r>
      <w:r w:rsidR="00CF1DCE">
        <w:rPr>
          <w:rFonts w:ascii="Arial" w:hAnsi="Arial" w:cs="Arial"/>
        </w:rPr>
        <w:t>/Requisite/Intime/Cite</w:t>
      </w:r>
      <w:r>
        <w:rPr>
          <w:rFonts w:ascii="Arial" w:hAnsi="Arial" w:cs="Arial"/>
        </w:rPr>
        <w:t xml:space="preserve"> </w:t>
      </w:r>
      <w:r w:rsidRPr="00A128D9">
        <w:rPr>
          <w:rFonts w:ascii="Arial" w:hAnsi="Arial" w:cs="Arial"/>
          <w:color w:val="FF0000"/>
          <w:highlight w:val="lightGray"/>
        </w:rPr>
        <w:t>descrever as diligências sugeridas</w:t>
      </w:r>
      <w:r>
        <w:rPr>
          <w:rFonts w:ascii="Arial" w:hAnsi="Arial" w:cs="Arial"/>
          <w:color w:val="FF0000"/>
          <w:highlight w:val="lightGray"/>
        </w:rPr>
        <w:t>,</w:t>
      </w:r>
      <w:r w:rsidRPr="00A128D9">
        <w:rPr>
          <w:rFonts w:ascii="Arial" w:hAnsi="Arial" w:cs="Arial"/>
          <w:color w:val="FF0000"/>
          <w:highlight w:val="lightGray"/>
        </w:rPr>
        <w:t xml:space="preserve"> </w:t>
      </w:r>
      <w:r>
        <w:rPr>
          <w:rFonts w:ascii="Arial" w:hAnsi="Arial" w:cs="Arial"/>
          <w:color w:val="FF0000"/>
          <w:highlight w:val="lightGray"/>
        </w:rPr>
        <w:t xml:space="preserve">necessárias ao </w:t>
      </w:r>
      <w:r>
        <w:rPr>
          <w:rFonts w:ascii="Arial" w:hAnsi="Arial" w:cs="Arial"/>
          <w:color w:val="FF0000"/>
          <w:highlight w:val="lightGray"/>
        </w:rPr>
        <w:lastRenderedPageBreak/>
        <w:t>pleno</w:t>
      </w:r>
      <w:r w:rsidRPr="00A128D9">
        <w:rPr>
          <w:rFonts w:ascii="Arial" w:hAnsi="Arial" w:cs="Arial"/>
          <w:color w:val="FF0000"/>
          <w:highlight w:val="lightGray"/>
        </w:rPr>
        <w:t xml:space="preserve"> saneamento do processo.</w:t>
      </w:r>
    </w:p>
    <w:p w14:paraId="3134A7C2" w14:textId="4C14966B" w:rsidR="00CF1DCE" w:rsidRDefault="00CF1DCE" w:rsidP="00CF1DC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54382369" w14:textId="2B073D23" w:rsidR="00CF1DCE" w:rsidRPr="004826C7" w:rsidRDefault="00CF1DCE" w:rsidP="00CF1DCE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  <w:r w:rsidRPr="004826C7">
        <w:rPr>
          <w:rFonts w:ascii="Arial" w:hAnsi="Arial" w:cs="Arial"/>
          <w:b/>
          <w:color w:val="FF0000"/>
          <w:sz w:val="22"/>
          <w:szCs w:val="22"/>
        </w:rPr>
        <w:t>Importante</w:t>
      </w:r>
      <w:r w:rsidRPr="004826C7">
        <w:rPr>
          <w:rFonts w:ascii="Arial" w:hAnsi="Arial" w:cs="Arial"/>
          <w:color w:val="FF0000"/>
          <w:sz w:val="22"/>
          <w:szCs w:val="22"/>
        </w:rPr>
        <w:t xml:space="preserve">: </w:t>
      </w:r>
      <w:r>
        <w:rPr>
          <w:rFonts w:ascii="Arial" w:hAnsi="Arial" w:cs="Arial"/>
          <w:color w:val="FF0000"/>
          <w:sz w:val="22"/>
          <w:szCs w:val="22"/>
        </w:rPr>
        <w:t xml:space="preserve">A realização de contraditório, quando necessário, se dá por </w:t>
      </w:r>
      <w:r w:rsidRPr="00B62EAE">
        <w:rPr>
          <w:rFonts w:ascii="Arial" w:hAnsi="Arial" w:cs="Arial"/>
          <w:b/>
          <w:color w:val="FF0000"/>
          <w:sz w:val="22"/>
          <w:szCs w:val="22"/>
        </w:rPr>
        <w:t>citação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="00B62EAE">
        <w:rPr>
          <w:rFonts w:ascii="Arial" w:hAnsi="Arial" w:cs="Arial"/>
          <w:color w:val="FF0000"/>
          <w:sz w:val="22"/>
          <w:szCs w:val="22"/>
        </w:rPr>
        <w:t xml:space="preserve">(art. 50, II da LOTCE-GO) </w:t>
      </w:r>
      <w:r>
        <w:rPr>
          <w:rFonts w:ascii="Arial" w:hAnsi="Arial" w:cs="Arial"/>
          <w:color w:val="FF0000"/>
          <w:sz w:val="22"/>
          <w:szCs w:val="22"/>
        </w:rPr>
        <w:t>dos possíveis responsáveis, que devem ter suas condutas devidamente individualizadas, de modo a permitir que tanto os citados, quanto o Conselheiro Relator, compreendam quais ações (ou omissões) foram consideradas irregulares.</w:t>
      </w:r>
    </w:p>
    <w:p w14:paraId="4CDB51A6" w14:textId="77777777" w:rsidR="00CF1DCE" w:rsidRPr="00CF1DCE" w:rsidRDefault="00CF1DCE" w:rsidP="00CF1DC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236504B8" w14:textId="77777777" w:rsidR="00CF1DCE" w:rsidRDefault="00CF1DCE" w:rsidP="003916B8">
      <w:pPr>
        <w:shd w:val="clear" w:color="auto" w:fill="FFFFFF" w:themeFill="background1"/>
        <w:spacing w:after="0" w:line="240" w:lineRule="auto"/>
        <w:ind w:firstLine="993"/>
        <w:jc w:val="both"/>
        <w:rPr>
          <w:rFonts w:ascii="Arial" w:hAnsi="Arial" w:cs="Arial"/>
          <w:shd w:val="clear" w:color="auto" w:fill="FFFFFF" w:themeFill="background1"/>
        </w:rPr>
      </w:pPr>
    </w:p>
    <w:p w14:paraId="4EE99BDF" w14:textId="77777777" w:rsidR="00CF1DCE" w:rsidRDefault="00CF1DCE" w:rsidP="003916B8">
      <w:pPr>
        <w:shd w:val="clear" w:color="auto" w:fill="FFFFFF" w:themeFill="background1"/>
        <w:spacing w:after="0" w:line="240" w:lineRule="auto"/>
        <w:ind w:firstLine="993"/>
        <w:jc w:val="both"/>
        <w:rPr>
          <w:rFonts w:ascii="Arial" w:hAnsi="Arial" w:cs="Arial"/>
          <w:shd w:val="clear" w:color="auto" w:fill="FFFFFF" w:themeFill="background1"/>
        </w:rPr>
      </w:pPr>
    </w:p>
    <w:p w14:paraId="17CB0496" w14:textId="45381D08" w:rsidR="003916B8" w:rsidRDefault="003916B8" w:rsidP="003916B8">
      <w:pPr>
        <w:shd w:val="clear" w:color="auto" w:fill="FFFFFF" w:themeFill="background1"/>
        <w:spacing w:after="0" w:line="240" w:lineRule="auto"/>
        <w:ind w:firstLine="993"/>
        <w:jc w:val="both"/>
        <w:rPr>
          <w:rFonts w:ascii="Arial" w:hAnsi="Arial" w:cs="Arial"/>
          <w:shd w:val="clear" w:color="auto" w:fill="FFFFFF" w:themeFill="background1"/>
        </w:rPr>
      </w:pPr>
      <w:r w:rsidRPr="00CC5120">
        <w:rPr>
          <w:rFonts w:ascii="Arial" w:hAnsi="Arial" w:cs="Arial"/>
          <w:shd w:val="clear" w:color="auto" w:fill="FFFFFF" w:themeFill="background1"/>
        </w:rPr>
        <w:t xml:space="preserve">Encaminhem-se os presentes autos ao Gabinete do (a) Conselheiro (a) Relator (a) </w:t>
      </w:r>
      <w:proofErr w:type="spellStart"/>
      <w:r w:rsidRPr="00CC5120">
        <w:rPr>
          <w:rFonts w:ascii="Arial" w:hAnsi="Arial" w:cs="Arial"/>
          <w:shd w:val="clear" w:color="auto" w:fill="FFFFFF" w:themeFill="background1"/>
        </w:rPr>
        <w:t>xxxxx</w:t>
      </w:r>
      <w:proofErr w:type="spellEnd"/>
      <w:r w:rsidR="00CF1DCE">
        <w:rPr>
          <w:rFonts w:ascii="Arial" w:hAnsi="Arial" w:cs="Arial"/>
          <w:shd w:val="clear" w:color="auto" w:fill="FFFFFF" w:themeFill="background1"/>
        </w:rPr>
        <w:t>.</w:t>
      </w:r>
    </w:p>
    <w:p w14:paraId="627BB8D2" w14:textId="77777777" w:rsidR="003916B8" w:rsidRPr="00CC5120" w:rsidRDefault="003916B8" w:rsidP="003916B8">
      <w:pPr>
        <w:shd w:val="clear" w:color="auto" w:fill="FFFFFF" w:themeFill="background1"/>
        <w:spacing w:after="0" w:line="240" w:lineRule="auto"/>
        <w:ind w:firstLine="993"/>
        <w:jc w:val="both"/>
        <w:rPr>
          <w:rFonts w:ascii="Arial" w:hAnsi="Arial" w:cs="Arial"/>
          <w:shd w:val="clear" w:color="auto" w:fill="FFFFFF" w:themeFill="background1"/>
        </w:rPr>
      </w:pPr>
    </w:p>
    <w:p w14:paraId="3F6E3152" w14:textId="7D9458F5" w:rsidR="003916B8" w:rsidRPr="00B62EAE" w:rsidRDefault="00CF1DCE" w:rsidP="003916B8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B62EAE">
        <w:rPr>
          <w:rFonts w:ascii="Arial" w:eastAsia="Times New Roman" w:hAnsi="Arial" w:cs="Arial"/>
          <w:b/>
          <w:color w:val="FF0000"/>
        </w:rPr>
        <w:t xml:space="preserve">Nota </w:t>
      </w:r>
      <w:r w:rsidR="00B62EAE">
        <w:rPr>
          <w:rFonts w:ascii="Arial" w:eastAsia="Times New Roman" w:hAnsi="Arial" w:cs="Arial"/>
          <w:b/>
          <w:color w:val="FF0000"/>
        </w:rPr>
        <w:t>3</w:t>
      </w:r>
      <w:r w:rsidRPr="00B62EAE">
        <w:rPr>
          <w:rFonts w:ascii="Arial" w:eastAsia="Times New Roman" w:hAnsi="Arial" w:cs="Arial"/>
          <w:b/>
          <w:color w:val="FF0000"/>
        </w:rPr>
        <w:t>:</w:t>
      </w:r>
      <w:r w:rsidRPr="00B62EAE">
        <w:rPr>
          <w:rFonts w:ascii="Arial" w:eastAsia="Times New Roman" w:hAnsi="Arial" w:cs="Arial"/>
          <w:color w:val="FF0000"/>
        </w:rPr>
        <w:t xml:space="preserve"> As sugestões de providências e</w:t>
      </w:r>
      <w:r w:rsidR="003916B8" w:rsidRPr="00B62EAE">
        <w:rPr>
          <w:rFonts w:ascii="Arial" w:eastAsia="Times New Roman" w:hAnsi="Arial" w:cs="Arial"/>
          <w:color w:val="FF0000"/>
        </w:rPr>
        <w:t xml:space="preserve"> diligências </w:t>
      </w:r>
      <w:r w:rsidRPr="00B62EAE">
        <w:rPr>
          <w:rFonts w:ascii="Arial" w:eastAsia="Times New Roman" w:hAnsi="Arial" w:cs="Arial"/>
          <w:color w:val="FF0000"/>
        </w:rPr>
        <w:t>devem ser sempre encaminhadas para o competente Conselheiro</w:t>
      </w:r>
      <w:r w:rsidR="003916B8" w:rsidRPr="00B62EAE">
        <w:rPr>
          <w:rFonts w:ascii="Arial" w:eastAsia="Times New Roman" w:hAnsi="Arial" w:cs="Arial"/>
          <w:color w:val="FF0000"/>
        </w:rPr>
        <w:t xml:space="preserve"> Relator</w:t>
      </w:r>
      <w:r w:rsidRPr="00B62EAE">
        <w:rPr>
          <w:rFonts w:ascii="Arial" w:eastAsia="Times New Roman" w:hAnsi="Arial" w:cs="Arial"/>
          <w:color w:val="FF0000"/>
        </w:rPr>
        <w:t>,</w:t>
      </w:r>
      <w:r w:rsidR="003916B8" w:rsidRPr="00B62EAE">
        <w:rPr>
          <w:rFonts w:ascii="Arial" w:eastAsia="Times New Roman" w:hAnsi="Arial" w:cs="Arial"/>
          <w:color w:val="FF0000"/>
        </w:rPr>
        <w:t xml:space="preserve"> tendo em vista que é este quem preside a instrução do processo, nos termos do art. 50 da LOTCE/GO.</w:t>
      </w:r>
    </w:p>
    <w:p w14:paraId="7D07DAE3" w14:textId="316530C0" w:rsidR="00CF1DCE" w:rsidRPr="00B62EAE" w:rsidRDefault="00CF1DCE" w:rsidP="003916B8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120BFA03" w14:textId="49E37BAA" w:rsidR="00CF1DCE" w:rsidRPr="00B62EAE" w:rsidRDefault="00CF1DCE" w:rsidP="003916B8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B62EAE">
        <w:rPr>
          <w:rFonts w:ascii="Arial" w:eastAsia="Times New Roman" w:hAnsi="Arial" w:cs="Arial"/>
          <w:b/>
          <w:color w:val="FF0000"/>
        </w:rPr>
        <w:t xml:space="preserve">Nota </w:t>
      </w:r>
      <w:r w:rsidR="00B62EAE">
        <w:rPr>
          <w:rFonts w:ascii="Arial" w:eastAsia="Times New Roman" w:hAnsi="Arial" w:cs="Arial"/>
          <w:b/>
          <w:color w:val="FF0000"/>
        </w:rPr>
        <w:t>4</w:t>
      </w:r>
      <w:r w:rsidRPr="00B62EAE">
        <w:rPr>
          <w:rFonts w:ascii="Arial" w:eastAsia="Times New Roman" w:hAnsi="Arial" w:cs="Arial"/>
          <w:b/>
          <w:color w:val="FF0000"/>
        </w:rPr>
        <w:t>:</w:t>
      </w:r>
      <w:r w:rsidRPr="00B62EAE">
        <w:rPr>
          <w:rFonts w:ascii="Arial" w:eastAsia="Times New Roman" w:hAnsi="Arial" w:cs="Arial"/>
          <w:color w:val="FF0000"/>
        </w:rPr>
        <w:t xml:space="preserve"> Nos casos que se enquadrarem nas hipóteses previstas na nota 7 do PO – Instruir Processo de Controle Externo, o processo </w:t>
      </w:r>
      <w:r w:rsidRPr="00B62EAE">
        <w:rPr>
          <w:rFonts w:ascii="Arial" w:eastAsia="Times New Roman" w:hAnsi="Arial" w:cs="Arial"/>
          <w:b/>
          <w:color w:val="FF0000"/>
        </w:rPr>
        <w:t>deve ser remetido</w:t>
      </w:r>
      <w:r w:rsidR="00B62EAE" w:rsidRPr="00B62EAE">
        <w:rPr>
          <w:rFonts w:ascii="Arial" w:eastAsia="Times New Roman" w:hAnsi="Arial" w:cs="Arial"/>
          <w:b/>
          <w:color w:val="FF0000"/>
        </w:rPr>
        <w:t xml:space="preserve"> à Gerência temática correspondente</w:t>
      </w:r>
      <w:r w:rsidR="00B62EAE" w:rsidRPr="00B62EAE">
        <w:rPr>
          <w:rFonts w:ascii="Arial" w:eastAsia="Times New Roman" w:hAnsi="Arial" w:cs="Arial"/>
          <w:color w:val="FF0000"/>
        </w:rPr>
        <w:t xml:space="preserve"> e, após, </w:t>
      </w:r>
      <w:r w:rsidR="00B62EAE">
        <w:rPr>
          <w:rFonts w:ascii="Arial" w:eastAsia="Times New Roman" w:hAnsi="Arial" w:cs="Arial"/>
          <w:color w:val="FF0000"/>
        </w:rPr>
        <w:t>à</w:t>
      </w:r>
      <w:r w:rsidR="00B62EAE" w:rsidRPr="00B62EAE">
        <w:rPr>
          <w:rFonts w:ascii="Arial" w:eastAsia="Times New Roman" w:hAnsi="Arial" w:cs="Arial"/>
          <w:color w:val="FF0000"/>
        </w:rPr>
        <w:t xml:space="preserve"> Secretaria de Controle Externo, a qual, por sua vez, providenciará a remessa dos autos ao Relator competente.</w:t>
      </w:r>
      <w:r w:rsidR="004F48C8">
        <w:rPr>
          <w:rFonts w:ascii="Arial" w:eastAsia="Times New Roman" w:hAnsi="Arial" w:cs="Arial"/>
          <w:color w:val="FF0000"/>
        </w:rPr>
        <w:t xml:space="preserve"> </w:t>
      </w:r>
    </w:p>
    <w:p w14:paraId="0166F940" w14:textId="77777777" w:rsidR="003916B8" w:rsidRPr="00CC5120" w:rsidRDefault="003916B8" w:rsidP="003916B8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688D633" w14:textId="77777777" w:rsidR="00CF1DCE" w:rsidRDefault="003916B8" w:rsidP="00CF1DCE">
      <w:pPr>
        <w:tabs>
          <w:tab w:val="left" w:pos="1418"/>
        </w:tabs>
        <w:spacing w:after="0" w:line="240" w:lineRule="auto"/>
        <w:rPr>
          <w:rFonts w:ascii="Arial" w:eastAsia="Arial" w:hAnsi="Arial" w:cs="Arial"/>
          <w:color w:val="FF0000"/>
        </w:rPr>
      </w:pPr>
      <w:r w:rsidRPr="00CC5120">
        <w:rPr>
          <w:rFonts w:ascii="Arial" w:eastAsia="Times New Roman" w:hAnsi="Arial" w:cs="Arial"/>
          <w:color w:val="000000"/>
        </w:rPr>
        <w:tab/>
      </w:r>
      <w:r w:rsidR="00CF1DCE">
        <w:rPr>
          <w:rFonts w:ascii="Arial" w:eastAsia="Arial" w:hAnsi="Arial" w:cs="Arial"/>
        </w:rPr>
        <w:t>Goiânia,</w:t>
      </w:r>
      <w:r w:rsidR="00CF1DCE">
        <w:rPr>
          <w:rFonts w:ascii="Arial" w:eastAsia="Arial" w:hAnsi="Arial" w:cs="Arial"/>
          <w:b/>
        </w:rPr>
        <w:t xml:space="preserve"> </w:t>
      </w:r>
      <w:r w:rsidR="00CF1DCE">
        <w:rPr>
          <w:rFonts w:ascii="Arial" w:eastAsia="Arial" w:hAnsi="Arial" w:cs="Arial"/>
          <w:b/>
          <w:color w:val="FF0000"/>
        </w:rPr>
        <w:t>&lt;data&gt;.</w:t>
      </w:r>
    </w:p>
    <w:p w14:paraId="4A8E2058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  <w:b/>
          <w:sz w:val="16"/>
          <w:szCs w:val="16"/>
        </w:rPr>
      </w:pPr>
    </w:p>
    <w:p w14:paraId="497BA430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  <w:b/>
          <w:sz w:val="16"/>
          <w:szCs w:val="16"/>
        </w:rPr>
      </w:pPr>
    </w:p>
    <w:p w14:paraId="2756A593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&lt;NOME&gt;</w:t>
      </w:r>
    </w:p>
    <w:p w14:paraId="421AAD9A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ANALISTA DE CONTROLE EXTERNO</w:t>
      </w:r>
    </w:p>
    <w:p w14:paraId="1482C570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77DD2104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794893A8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705581F3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B67331A" w14:textId="77777777" w:rsidR="00CF1DCE" w:rsidRDefault="00CF1DCE" w:rsidP="00CF1DCE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&lt;NOME&gt;</w:t>
      </w:r>
    </w:p>
    <w:p w14:paraId="61202E9B" w14:textId="77777777" w:rsidR="00CF1DCE" w:rsidRDefault="00CF1DCE" w:rsidP="00CF1DCE">
      <w:pPr>
        <w:spacing w:after="0" w:line="240" w:lineRule="auto"/>
        <w:jc w:val="center"/>
      </w:pPr>
      <w:r>
        <w:rPr>
          <w:rFonts w:ascii="Arial" w:eastAsia="Arial" w:hAnsi="Arial" w:cs="Arial"/>
          <w:b/>
        </w:rPr>
        <w:t>CHEFE DE SERVIÇO</w:t>
      </w:r>
    </w:p>
    <w:p w14:paraId="33C51437" w14:textId="7DCB97BB" w:rsidR="00255D94" w:rsidRPr="003916B8" w:rsidRDefault="00255D94" w:rsidP="00CF1DCE">
      <w:pPr>
        <w:tabs>
          <w:tab w:val="left" w:pos="1418"/>
        </w:tabs>
        <w:autoSpaceDE w:val="0"/>
        <w:autoSpaceDN w:val="0"/>
        <w:adjustRightInd w:val="0"/>
        <w:spacing w:after="0" w:line="240" w:lineRule="auto"/>
      </w:pPr>
    </w:p>
    <w:sectPr w:rsidR="00255D94" w:rsidRPr="003916B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49004" w14:textId="77777777" w:rsidR="00782ADE" w:rsidRDefault="00782ADE">
      <w:pPr>
        <w:spacing w:after="0" w:line="240" w:lineRule="auto"/>
      </w:pPr>
      <w:r>
        <w:separator/>
      </w:r>
    </w:p>
  </w:endnote>
  <w:endnote w:type="continuationSeparator" w:id="0">
    <w:p w14:paraId="29D27D41" w14:textId="77777777" w:rsidR="00782ADE" w:rsidRDefault="00782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C9A81" w14:textId="77777777" w:rsidR="00255D94" w:rsidRDefault="00675C66">
    <w:pPr>
      <w:pBdr>
        <w:top w:val="single" w:sz="4" w:space="1" w:color="BFBFBF"/>
      </w:pBdr>
      <w:tabs>
        <w:tab w:val="center" w:pos="4252"/>
      </w:tabs>
      <w:spacing w:after="0" w:line="240" w:lineRule="auto"/>
      <w:jc w:val="right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3916B8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3916B8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14:paraId="6D5014B6" w14:textId="77777777" w:rsidR="00255D94" w:rsidRDefault="00675C66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14:paraId="34377FC1" w14:textId="77777777" w:rsidR="00255D94" w:rsidRDefault="00255D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9C377" w14:textId="77777777" w:rsidR="00782ADE" w:rsidRDefault="00782ADE">
      <w:pPr>
        <w:spacing w:after="0" w:line="240" w:lineRule="auto"/>
      </w:pPr>
      <w:r>
        <w:separator/>
      </w:r>
    </w:p>
  </w:footnote>
  <w:footnote w:type="continuationSeparator" w:id="0">
    <w:p w14:paraId="66B3588C" w14:textId="77777777" w:rsidR="00782ADE" w:rsidRDefault="00782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FB35C" w14:textId="77777777" w:rsidR="00255D94" w:rsidRDefault="00255D94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</w:p>
  <w:tbl>
    <w:tblPr>
      <w:tblStyle w:val="a3"/>
      <w:tblW w:w="9072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255D94" w14:paraId="661E31F9" w14:textId="77777777">
      <w:trPr>
        <w:trHeight w:val="855"/>
      </w:trPr>
      <w:tc>
        <w:tcPr>
          <w:tcW w:w="2881" w:type="dxa"/>
        </w:tcPr>
        <w:p w14:paraId="63F080C0" w14:textId="77777777" w:rsidR="00255D94" w:rsidRDefault="00675C6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-567" w:firstLine="567"/>
            <w:rPr>
              <w:color w:val="000000"/>
            </w:rPr>
          </w:pPr>
          <w:bookmarkStart w:id="4" w:name="_heading=h.30j0zll" w:colFirst="0" w:colLast="0"/>
          <w:bookmarkEnd w:id="4"/>
          <w:r>
            <w:rPr>
              <w:noProof/>
              <w:color w:val="000000"/>
            </w:rPr>
            <w:drawing>
              <wp:inline distT="0" distB="0" distL="0" distR="0" wp14:anchorId="246DA665" wp14:editId="1D953B06">
                <wp:extent cx="1319316" cy="711429"/>
                <wp:effectExtent l="0" t="0" r="0" b="0"/>
                <wp:docPr id="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14:paraId="1C8825A9" w14:textId="77777777" w:rsidR="00255D94" w:rsidRDefault="00675C6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  <w:sz w:val="28"/>
              <w:szCs w:val="28"/>
            </w:rPr>
          </w:pPr>
          <w:r>
            <w:rPr>
              <w:rFonts w:ascii="Arial" w:eastAsia="Arial" w:hAnsi="Arial" w:cs="Arial"/>
              <w:color w:val="000000"/>
              <w:sz w:val="28"/>
              <w:szCs w:val="28"/>
            </w:rPr>
            <w:t>Tribunal de Contas do Estado de Goiás</w:t>
          </w:r>
        </w:p>
        <w:p w14:paraId="43299999" w14:textId="77777777" w:rsidR="005F15BF" w:rsidRPr="00A94728" w:rsidRDefault="005F15BF" w:rsidP="005F15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  <w:szCs w:val="28"/>
            </w:rPr>
          </w:pPr>
          <w:r w:rsidRPr="00A94728">
            <w:rPr>
              <w:rFonts w:ascii="Arial" w:eastAsia="Arial" w:hAnsi="Arial" w:cs="Arial"/>
              <w:color w:val="000000"/>
              <w:szCs w:val="28"/>
            </w:rPr>
            <w:t>Secretaria de Controle Externo</w:t>
          </w:r>
        </w:p>
        <w:p w14:paraId="2DF65B60" w14:textId="77777777" w:rsidR="005F15BF" w:rsidRPr="00A94728" w:rsidRDefault="005F15BF" w:rsidP="005F15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  <w:szCs w:val="28"/>
            </w:rPr>
          </w:pPr>
          <w:r w:rsidRPr="00A94728">
            <w:rPr>
              <w:rFonts w:ascii="Arial" w:eastAsia="Arial" w:hAnsi="Arial" w:cs="Arial"/>
              <w:color w:val="000000"/>
              <w:szCs w:val="28"/>
            </w:rPr>
            <w:t xml:space="preserve">Gerência de Fiscalização </w:t>
          </w:r>
          <w:r w:rsidRPr="00A94728">
            <w:rPr>
              <w:rFonts w:ascii="Arial" w:eastAsia="Arial" w:hAnsi="Arial" w:cs="Arial"/>
              <w:color w:val="FF0000"/>
              <w:szCs w:val="28"/>
            </w:rPr>
            <w:t>Temática</w:t>
          </w:r>
        </w:p>
        <w:p w14:paraId="24F85694" w14:textId="5F1C2EB7" w:rsidR="00255D94" w:rsidRDefault="005F15BF" w:rsidP="005F15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FF0000"/>
              <w:sz w:val="20"/>
              <w:szCs w:val="20"/>
            </w:rPr>
          </w:pPr>
          <w:r w:rsidRPr="00A94728">
            <w:rPr>
              <w:rFonts w:ascii="Arial" w:eastAsia="Arial" w:hAnsi="Arial" w:cs="Arial"/>
              <w:color w:val="000000"/>
              <w:szCs w:val="20"/>
            </w:rPr>
            <w:t xml:space="preserve">Serviço de Fiscalização </w:t>
          </w:r>
          <w:r w:rsidRPr="00A94728">
            <w:rPr>
              <w:rFonts w:ascii="Arial" w:eastAsia="Arial" w:hAnsi="Arial" w:cs="Arial"/>
              <w:color w:val="FF0000"/>
              <w:szCs w:val="20"/>
            </w:rPr>
            <w:t>Temático</w:t>
          </w:r>
        </w:p>
      </w:tc>
    </w:tr>
  </w:tbl>
  <w:p w14:paraId="2F6FFEDD" w14:textId="77777777" w:rsidR="00255D94" w:rsidRDefault="00255D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B5E13"/>
    <w:multiLevelType w:val="multilevel"/>
    <w:tmpl w:val="A0D802FE"/>
    <w:lvl w:ilvl="0">
      <w:start w:val="1"/>
      <w:numFmt w:val="decimal"/>
      <w:lvlText w:val="%1."/>
      <w:lvlJc w:val="right"/>
      <w:pPr>
        <w:ind w:left="141" w:firstLine="0"/>
      </w:p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right"/>
      <w:pPr>
        <w:ind w:left="2880" w:hanging="360"/>
      </w:pPr>
    </w:lvl>
    <w:lvl w:ilvl="4">
      <w:start w:val="1"/>
      <w:numFmt w:val="decimal"/>
      <w:lvlText w:val="%1.%2.%3.%4.%5."/>
      <w:lvlJc w:val="right"/>
      <w:pPr>
        <w:ind w:left="3600" w:hanging="360"/>
      </w:pPr>
    </w:lvl>
    <w:lvl w:ilvl="5">
      <w:start w:val="1"/>
      <w:numFmt w:val="decimal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right"/>
      <w:pPr>
        <w:ind w:left="5040" w:hanging="360"/>
      </w:pPr>
    </w:lvl>
    <w:lvl w:ilvl="7">
      <w:start w:val="1"/>
      <w:numFmt w:val="decimal"/>
      <w:lvlText w:val="%1.%2.%3.%4.%5.%6.%7.%8."/>
      <w:lvlJc w:val="right"/>
      <w:pPr>
        <w:ind w:left="5760" w:hanging="360"/>
      </w:pPr>
    </w:lvl>
    <w:lvl w:ilvl="8">
      <w:start w:val="1"/>
      <w:numFmt w:val="decimal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5EA4EB3"/>
    <w:multiLevelType w:val="multilevel"/>
    <w:tmpl w:val="D5244D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6517A80"/>
    <w:multiLevelType w:val="hybridMultilevel"/>
    <w:tmpl w:val="3E8E484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D94"/>
    <w:rsid w:val="00064278"/>
    <w:rsid w:val="000D3649"/>
    <w:rsid w:val="00143327"/>
    <w:rsid w:val="001B2475"/>
    <w:rsid w:val="001E241C"/>
    <w:rsid w:val="001F5D37"/>
    <w:rsid w:val="00255D94"/>
    <w:rsid w:val="00382201"/>
    <w:rsid w:val="003916B8"/>
    <w:rsid w:val="004826C7"/>
    <w:rsid w:val="004B379F"/>
    <w:rsid w:val="004F48C8"/>
    <w:rsid w:val="005F15BF"/>
    <w:rsid w:val="00675C66"/>
    <w:rsid w:val="006B36B4"/>
    <w:rsid w:val="00747A8C"/>
    <w:rsid w:val="00782ADE"/>
    <w:rsid w:val="00786B19"/>
    <w:rsid w:val="00800B41"/>
    <w:rsid w:val="00981B60"/>
    <w:rsid w:val="00A84A7A"/>
    <w:rsid w:val="00B62EAE"/>
    <w:rsid w:val="00CF1DCE"/>
    <w:rsid w:val="00D30650"/>
    <w:rsid w:val="00D63994"/>
    <w:rsid w:val="00E034E6"/>
    <w:rsid w:val="00E03C70"/>
    <w:rsid w:val="00EC3C07"/>
    <w:rsid w:val="00F4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9ADA49"/>
  <w15:docId w15:val="{36645360-18DD-4F3A-8EF4-49A40E06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079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9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0793"/>
  </w:style>
  <w:style w:type="paragraph" w:styleId="Rodap">
    <w:name w:val="footer"/>
    <w:basedOn w:val="Normal"/>
    <w:link w:val="RodapChar"/>
    <w:uiPriority w:val="99"/>
    <w:unhideWhenUsed/>
    <w:rsid w:val="0039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0793"/>
  </w:style>
  <w:style w:type="table" w:styleId="Tabelacomgrade">
    <w:name w:val="Table Grid"/>
    <w:basedOn w:val="Tabelanormal"/>
    <w:uiPriority w:val="59"/>
    <w:rsid w:val="00390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90793"/>
    <w:pPr>
      <w:ind w:left="720"/>
      <w:contextualSpacing/>
    </w:pPr>
  </w:style>
  <w:style w:type="paragraph" w:styleId="SemEspaamento">
    <w:name w:val="No Spacing"/>
    <w:uiPriority w:val="1"/>
    <w:qFormat/>
    <w:rsid w:val="00390793"/>
    <w:pPr>
      <w:spacing w:after="0" w:line="240" w:lineRule="auto"/>
    </w:pPr>
  </w:style>
  <w:style w:type="paragraph" w:customStyle="1" w:styleId="western">
    <w:name w:val="western"/>
    <w:basedOn w:val="Normal"/>
    <w:rsid w:val="00390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90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90793"/>
    <w:rPr>
      <w:sz w:val="20"/>
      <w:szCs w:val="20"/>
    </w:rPr>
  </w:style>
  <w:style w:type="character" w:styleId="TextodoEspaoReservado">
    <w:name w:val="Placeholder Text"/>
    <w:basedOn w:val="Fontepargpadro"/>
    <w:uiPriority w:val="99"/>
    <w:semiHidden/>
    <w:rsid w:val="00390793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2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2FE3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43327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4332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433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tce.go.gov.br/documents/117455/370412/Manual+de+Padroniza%C3%A7%C3%A3o+Especifica%C3%A7%C3%A3o+Documental/e25cfc00-d228-47da-be90-108915d18b9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uNpWgU1qw2hSQFykZbnVErlWPA==">CgMxLjAyCGguZ2pkZ3hzMgloLjMwajB6bGw4AHIhMWNYQ0NYdnJmUXZHTV9oZEFzYlFnTVlTSU5QdUpvYXM1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Andrea Calixto Abdalla Ribeiro</cp:lastModifiedBy>
  <cp:revision>2</cp:revision>
  <dcterms:created xsi:type="dcterms:W3CDTF">2024-07-09T12:59:00Z</dcterms:created>
  <dcterms:modified xsi:type="dcterms:W3CDTF">2024-07-09T12:59:00Z</dcterms:modified>
</cp:coreProperties>
</file>